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E7" w:rsidRPr="003E34F6" w:rsidRDefault="00BC58E7" w:rsidP="00BC58E7">
      <w:pPr>
        <w:spacing w:after="0" w:line="240" w:lineRule="auto"/>
        <w:jc w:val="center"/>
        <w:outlineLvl w:val="0"/>
        <w:rPr>
          <w:b/>
          <w:sz w:val="30"/>
          <w:szCs w:val="30"/>
          <w:lang w:val="en-GB"/>
        </w:rPr>
      </w:pPr>
      <w:r w:rsidRPr="003E34F6">
        <w:rPr>
          <w:b/>
          <w:bCs/>
          <w:sz w:val="30"/>
          <w:szCs w:val="30"/>
          <w:lang w:val="en-GB"/>
        </w:rPr>
        <w:t xml:space="preserve">Company shares </w:t>
      </w:r>
      <w:proofErr w:type="spellStart"/>
      <w:r w:rsidRPr="003E34F6">
        <w:rPr>
          <w:b/>
          <w:bCs/>
          <w:sz w:val="30"/>
          <w:szCs w:val="30"/>
          <w:lang w:val="en-GB"/>
        </w:rPr>
        <w:t>buy back</w:t>
      </w:r>
      <w:proofErr w:type="spellEnd"/>
      <w:r w:rsidRPr="003E34F6">
        <w:rPr>
          <w:sz w:val="30"/>
          <w:szCs w:val="30"/>
          <w:lang w:val="en-GB"/>
        </w:rPr>
        <w:t xml:space="preserve"> </w:t>
      </w:r>
      <w:r w:rsidR="003E34F6" w:rsidRPr="003E34F6">
        <w:rPr>
          <w:b/>
          <w:sz w:val="30"/>
          <w:szCs w:val="30"/>
          <w:lang w:val="en-GB"/>
        </w:rPr>
        <w:t>offer</w:t>
      </w:r>
    </w:p>
    <w:p w:rsidR="00232D60" w:rsidRPr="003E34F6" w:rsidRDefault="003C4B1A" w:rsidP="00BC58E7">
      <w:pPr>
        <w:spacing w:after="0" w:line="240" w:lineRule="auto"/>
        <w:jc w:val="center"/>
        <w:outlineLvl w:val="0"/>
        <w:rPr>
          <w:b/>
          <w:sz w:val="30"/>
          <w:szCs w:val="30"/>
          <w:lang w:val="en-GB"/>
        </w:rPr>
      </w:pPr>
      <w:r w:rsidRPr="003E34F6">
        <w:rPr>
          <w:b/>
          <w:bCs/>
          <w:sz w:val="30"/>
          <w:szCs w:val="30"/>
          <w:lang w:val="en-GB"/>
        </w:rPr>
        <w:t>Skyline Investment S.A.</w:t>
      </w:r>
    </w:p>
    <w:p w:rsidR="00273793" w:rsidRPr="003E34F6" w:rsidRDefault="00273793" w:rsidP="00273793">
      <w:pPr>
        <w:spacing w:after="0"/>
        <w:rPr>
          <w:sz w:val="18"/>
          <w:szCs w:val="18"/>
          <w:lang w:val="en-GB"/>
        </w:rPr>
      </w:pPr>
    </w:p>
    <w:p w:rsidR="0089143E" w:rsidRPr="003E34F6" w:rsidRDefault="00576B81" w:rsidP="0089143E">
      <w:pPr>
        <w:spacing w:after="0" w:line="240" w:lineRule="auto"/>
        <w:rPr>
          <w:lang w:val="en-GB"/>
        </w:rPr>
      </w:pPr>
      <w:r w:rsidRPr="003E34F6">
        <w:rPr>
          <w:b/>
          <w:bCs/>
          <w:lang w:val="en-GB"/>
        </w:rPr>
        <w:t>I. General information</w:t>
      </w:r>
      <w:r w:rsidRPr="003E34F6">
        <w:rPr>
          <w:lang w:val="en-GB"/>
        </w:rPr>
        <w:t xml:space="preserve"> </w:t>
      </w:r>
    </w:p>
    <w:p w:rsidR="00576B81" w:rsidRPr="003E34F6" w:rsidRDefault="00576B81" w:rsidP="00576B81">
      <w:pPr>
        <w:rPr>
          <w:b/>
          <w:lang w:val="en-GB"/>
        </w:rPr>
      </w:pPr>
    </w:p>
    <w:p w:rsidR="00273793" w:rsidRPr="003E34F6" w:rsidRDefault="0092126C" w:rsidP="00BC58E7">
      <w:pPr>
        <w:pStyle w:val="Akapitzlist"/>
        <w:numPr>
          <w:ilvl w:val="0"/>
          <w:numId w:val="1"/>
        </w:numPr>
        <w:spacing w:after="0"/>
        <w:jc w:val="both"/>
        <w:rPr>
          <w:rFonts w:cstheme="minorHAnsi"/>
          <w:sz w:val="20"/>
          <w:szCs w:val="20"/>
          <w:lang w:val="en-GB"/>
        </w:rPr>
      </w:pPr>
      <w:r w:rsidRPr="003E34F6">
        <w:rPr>
          <w:rFonts w:cstheme="minorHAnsi"/>
          <w:sz w:val="20"/>
          <w:szCs w:val="20"/>
          <w:lang w:val="en-GB"/>
        </w:rPr>
        <w:t xml:space="preserve">The Management Board of </w:t>
      </w:r>
      <w:r w:rsidRPr="003E34F6">
        <w:rPr>
          <w:rFonts w:cstheme="minorHAnsi"/>
          <w:b/>
          <w:bCs/>
          <w:sz w:val="20"/>
          <w:szCs w:val="20"/>
          <w:lang w:val="en-GB"/>
        </w:rPr>
        <w:t>Skyline Investment</w:t>
      </w:r>
      <w:r w:rsidRPr="003E34F6">
        <w:rPr>
          <w:rFonts w:cstheme="minorHAnsi"/>
          <w:sz w:val="20"/>
          <w:szCs w:val="20"/>
          <w:lang w:val="en-GB"/>
        </w:rPr>
        <w:t xml:space="preserve"> S.A. with its registered office in Warsaw, hereinafter the "Company", acting pursuant to Resolution No. 4 by </w:t>
      </w:r>
      <w:r w:rsidRPr="003E34F6">
        <w:rPr>
          <w:rFonts w:cstheme="minorHAnsi"/>
          <w:b/>
          <w:bCs/>
          <w:sz w:val="20"/>
          <w:szCs w:val="20"/>
          <w:lang w:val="en-GB"/>
        </w:rPr>
        <w:t>Skyline Investment</w:t>
      </w:r>
      <w:r w:rsidRPr="003E34F6">
        <w:rPr>
          <w:rFonts w:cstheme="minorHAnsi"/>
          <w:sz w:val="20"/>
          <w:szCs w:val="20"/>
          <w:lang w:val="en-GB"/>
        </w:rPr>
        <w:t xml:space="preserve"> S.A. Extraordinary General Meeting of Shareholders of 20 December 2013 invites all Company shareholders to submit offers for the sale of shares subject to the terms as defined in the Share buy back offer (hereinbelow).</w:t>
      </w:r>
    </w:p>
    <w:p w:rsidR="00BC58E7" w:rsidRPr="003E34F6" w:rsidRDefault="00AF6013" w:rsidP="00981929">
      <w:pPr>
        <w:pStyle w:val="Akapitzlist"/>
        <w:numPr>
          <w:ilvl w:val="0"/>
          <w:numId w:val="1"/>
        </w:numPr>
        <w:spacing w:before="240" w:after="0"/>
        <w:jc w:val="both"/>
        <w:rPr>
          <w:rFonts w:cstheme="minorHAnsi"/>
          <w:sz w:val="20"/>
          <w:szCs w:val="20"/>
          <w:lang w:val="en-GB"/>
        </w:rPr>
      </w:pPr>
      <w:r w:rsidRPr="003E34F6">
        <w:rPr>
          <w:rFonts w:cstheme="minorHAnsi"/>
          <w:sz w:val="20"/>
          <w:szCs w:val="20"/>
          <w:lang w:val="en-GB"/>
        </w:rPr>
        <w:t xml:space="preserve">The subject of the Share buy back offer, which the Company intends to purchase in accordance with the Company share buy back regulations adopted by virtue of Resolution No. 1 of the Supervisory Board of 20 December 2013, attached to the present Offer, are ordinary bearer shares designated with a PLSKLNW00011 code ("Shares"). </w:t>
      </w:r>
    </w:p>
    <w:p w:rsidR="00BC58E7" w:rsidRPr="003E34F6" w:rsidRDefault="00BC58E7" w:rsidP="00981929">
      <w:pPr>
        <w:pStyle w:val="Akapitzlist"/>
        <w:numPr>
          <w:ilvl w:val="0"/>
          <w:numId w:val="1"/>
        </w:numPr>
        <w:spacing w:before="240" w:after="0"/>
        <w:jc w:val="both"/>
        <w:rPr>
          <w:rFonts w:cstheme="minorHAnsi"/>
          <w:sz w:val="20"/>
          <w:szCs w:val="20"/>
          <w:lang w:val="en-GB"/>
        </w:rPr>
      </w:pPr>
      <w:r w:rsidRPr="003E34F6">
        <w:rPr>
          <w:rFonts w:cstheme="minorHAnsi"/>
          <w:sz w:val="20"/>
          <w:szCs w:val="20"/>
          <w:lang w:val="en-GB"/>
        </w:rPr>
        <w:t>The intermediary entity for the Offer, accepting subscriptions and concluding transactions is:</w:t>
      </w:r>
    </w:p>
    <w:p w:rsidR="00BC58E7" w:rsidRPr="003E34F6" w:rsidRDefault="00BC58E7" w:rsidP="00BC58E7">
      <w:pPr>
        <w:pStyle w:val="Akapitzlist"/>
        <w:spacing w:before="240" w:after="0"/>
        <w:jc w:val="both"/>
        <w:rPr>
          <w:rFonts w:cstheme="minorHAnsi"/>
          <w:sz w:val="20"/>
          <w:szCs w:val="20"/>
          <w:lang w:val="en-GB"/>
        </w:rPr>
      </w:pPr>
      <w:r w:rsidRPr="003E34F6">
        <w:rPr>
          <w:rFonts w:cstheme="minorHAnsi"/>
          <w:sz w:val="20"/>
          <w:szCs w:val="20"/>
          <w:lang w:val="en-GB"/>
        </w:rPr>
        <w:t>Dom Maklerski Banku Ochrony Środowiska S.A. with registered office in Warsaw</w:t>
      </w:r>
    </w:p>
    <w:p w:rsidR="00E52913" w:rsidRPr="003E34F6" w:rsidRDefault="00E52913" w:rsidP="00BC58E7">
      <w:pPr>
        <w:pStyle w:val="Akapitzlist"/>
        <w:spacing w:before="240" w:after="0"/>
        <w:jc w:val="both"/>
        <w:rPr>
          <w:rFonts w:cstheme="minorHAnsi"/>
          <w:sz w:val="20"/>
          <w:szCs w:val="20"/>
          <w:lang w:val="en-GB"/>
        </w:rPr>
      </w:pPr>
      <w:r w:rsidRPr="003E34F6">
        <w:rPr>
          <w:rFonts w:cstheme="minorHAnsi"/>
          <w:sz w:val="20"/>
          <w:szCs w:val="20"/>
          <w:lang w:val="en-GB"/>
        </w:rPr>
        <w:t>ul. Marszałkowska 78/80</w:t>
      </w:r>
    </w:p>
    <w:p w:rsidR="00E52913" w:rsidRPr="003E34F6" w:rsidRDefault="00E52913" w:rsidP="00BC58E7">
      <w:pPr>
        <w:pStyle w:val="Akapitzlist"/>
        <w:spacing w:before="240" w:after="0"/>
        <w:jc w:val="both"/>
        <w:rPr>
          <w:rFonts w:cstheme="minorHAnsi"/>
          <w:sz w:val="20"/>
          <w:szCs w:val="20"/>
          <w:lang w:val="en-GB"/>
        </w:rPr>
      </w:pPr>
      <w:r w:rsidRPr="003E34F6">
        <w:rPr>
          <w:rFonts w:cstheme="minorHAnsi"/>
          <w:sz w:val="20"/>
          <w:szCs w:val="20"/>
          <w:lang w:val="en-GB"/>
        </w:rPr>
        <w:t>00-517 Warsaw</w:t>
      </w:r>
    </w:p>
    <w:p w:rsidR="00CA76A5" w:rsidRPr="003E34F6" w:rsidRDefault="00CA76A5" w:rsidP="00BC58E7">
      <w:pPr>
        <w:pStyle w:val="Akapitzlist"/>
        <w:spacing w:before="240" w:after="0"/>
        <w:jc w:val="both"/>
        <w:rPr>
          <w:rFonts w:cstheme="minorHAnsi"/>
          <w:sz w:val="20"/>
          <w:szCs w:val="20"/>
          <w:lang w:val="en-GB"/>
        </w:rPr>
      </w:pPr>
      <w:r w:rsidRPr="003E34F6">
        <w:rPr>
          <w:rFonts w:cstheme="minorHAnsi"/>
          <w:sz w:val="20"/>
          <w:szCs w:val="20"/>
          <w:lang w:val="en-GB"/>
        </w:rPr>
        <w:t>e-mail: konsorcjum@bossa.pl</w:t>
      </w:r>
    </w:p>
    <w:p w:rsidR="00E52913" w:rsidRPr="003E34F6" w:rsidRDefault="00CB7A9D" w:rsidP="00BC58E7">
      <w:pPr>
        <w:pStyle w:val="Akapitzlist"/>
        <w:spacing w:before="240" w:after="0"/>
        <w:jc w:val="both"/>
        <w:rPr>
          <w:rFonts w:cstheme="minorHAnsi"/>
          <w:sz w:val="20"/>
          <w:szCs w:val="20"/>
          <w:lang w:val="en-GB"/>
        </w:rPr>
      </w:pPr>
      <w:r w:rsidRPr="003E34F6">
        <w:rPr>
          <w:rFonts w:cstheme="minorHAnsi"/>
          <w:sz w:val="20"/>
          <w:szCs w:val="20"/>
          <w:lang w:val="en-GB"/>
        </w:rPr>
        <w:t>hereinafter the "Brokerage House".</w:t>
      </w:r>
    </w:p>
    <w:p w:rsidR="002A1E78" w:rsidRPr="003E34F6" w:rsidRDefault="00E52913" w:rsidP="00E52913">
      <w:pPr>
        <w:pStyle w:val="Akapitzlist"/>
        <w:numPr>
          <w:ilvl w:val="0"/>
          <w:numId w:val="1"/>
        </w:numPr>
        <w:spacing w:before="240" w:after="0"/>
        <w:jc w:val="both"/>
        <w:rPr>
          <w:rFonts w:cstheme="minorHAnsi"/>
          <w:sz w:val="20"/>
          <w:szCs w:val="20"/>
          <w:lang w:val="en-GB"/>
        </w:rPr>
      </w:pPr>
      <w:r w:rsidRPr="003E34F6">
        <w:rPr>
          <w:rFonts w:cstheme="minorHAnsi"/>
          <w:sz w:val="20"/>
          <w:szCs w:val="20"/>
          <w:lang w:val="en-GB"/>
        </w:rPr>
        <w:t>The present offer does not constitute an invitation in the understanding of the Act o</w:t>
      </w:r>
      <w:r w:rsidR="003E34F6">
        <w:rPr>
          <w:rFonts w:cstheme="minorHAnsi"/>
          <w:sz w:val="20"/>
          <w:szCs w:val="20"/>
          <w:lang w:val="en-GB"/>
        </w:rPr>
        <w:t>n Public Offerings, Conditions g</w:t>
      </w:r>
      <w:r w:rsidRPr="003E34F6">
        <w:rPr>
          <w:rFonts w:cstheme="minorHAnsi"/>
          <w:sz w:val="20"/>
          <w:szCs w:val="20"/>
          <w:lang w:val="en-GB"/>
        </w:rPr>
        <w:t>overning the Introduction of Financial Instruments to Organised Trading, and Public Companies of 29 July 2005 (consolidated text Journal of Laws No. 185 item 1439 of 2009 as amended) and as such is not subject to the provisions of the Act nor secondary legislation, regulating the conduct of an subscriptions for the sale of public company shares. However, in using the present Offer, the Company takes advantage of the share buy back format subject to terms similar to an public invitation for a subscription in order to allow all Company shareholders to sell Shares to the Company.</w:t>
      </w:r>
    </w:p>
    <w:p w:rsidR="00E52913" w:rsidRPr="003E34F6" w:rsidRDefault="002A1E78" w:rsidP="002A1E78">
      <w:pPr>
        <w:pStyle w:val="Akapitzlist"/>
        <w:numPr>
          <w:ilvl w:val="0"/>
          <w:numId w:val="1"/>
        </w:numPr>
        <w:spacing w:before="240" w:after="0"/>
        <w:jc w:val="both"/>
        <w:rPr>
          <w:rFonts w:cstheme="minorHAnsi"/>
          <w:sz w:val="20"/>
          <w:szCs w:val="20"/>
          <w:lang w:val="en-GB"/>
        </w:rPr>
      </w:pPr>
      <w:r w:rsidRPr="003E34F6">
        <w:rPr>
          <w:rFonts w:cstheme="minorHAnsi"/>
          <w:sz w:val="20"/>
          <w:szCs w:val="20"/>
          <w:lang w:val="en-GB"/>
        </w:rPr>
        <w:t xml:space="preserve">The offer should not be taken as investment, legal or tax advice. In matters associated with the Offer, Company shareholders should seek the advice of entities providing advice within the scope of investments as well as legal and tax regulations.  </w:t>
      </w:r>
    </w:p>
    <w:p w:rsidR="00212D52" w:rsidRPr="003E34F6" w:rsidRDefault="00212D52" w:rsidP="003C4B1A">
      <w:pPr>
        <w:pStyle w:val="Akapitzlist"/>
        <w:numPr>
          <w:ilvl w:val="0"/>
          <w:numId w:val="1"/>
        </w:numPr>
        <w:spacing w:before="240" w:after="0"/>
        <w:jc w:val="both"/>
        <w:rPr>
          <w:rFonts w:cstheme="minorHAnsi"/>
          <w:sz w:val="20"/>
          <w:szCs w:val="20"/>
          <w:lang w:val="en-GB"/>
        </w:rPr>
      </w:pPr>
      <w:r w:rsidRPr="003E34F6">
        <w:rPr>
          <w:rFonts w:cstheme="minorHAnsi"/>
          <w:sz w:val="20"/>
          <w:szCs w:val="20"/>
          <w:lang w:val="en-GB"/>
        </w:rPr>
        <w:t xml:space="preserve"> The present Offer is published on the Brokerage House website http://www.bossa.pl/ as well as on the Company's websirehttp://www.skyline.com.pl/.</w:t>
      </w:r>
    </w:p>
    <w:p w:rsidR="00212D52" w:rsidRPr="003E34F6" w:rsidRDefault="00212D52" w:rsidP="00212D52">
      <w:pPr>
        <w:pStyle w:val="Akapitzlist"/>
        <w:numPr>
          <w:ilvl w:val="0"/>
          <w:numId w:val="1"/>
        </w:numPr>
        <w:spacing w:before="240" w:after="0"/>
        <w:jc w:val="both"/>
        <w:rPr>
          <w:rFonts w:cstheme="minorHAnsi"/>
          <w:sz w:val="20"/>
          <w:szCs w:val="20"/>
          <w:lang w:val="en-GB"/>
        </w:rPr>
      </w:pPr>
      <w:r w:rsidRPr="003E34F6">
        <w:rPr>
          <w:rFonts w:cstheme="minorHAnsi"/>
          <w:sz w:val="20"/>
          <w:szCs w:val="20"/>
          <w:lang w:val="en-GB"/>
        </w:rPr>
        <w:t>All additional information regarding the procedure for accepting subscriptions in reply to the present Offer may be obtained from the Brokerage House, tel. (22) 50 43 343, (22) 50 43 342.</w:t>
      </w:r>
    </w:p>
    <w:p w:rsidR="00212D52" w:rsidRPr="003E34F6" w:rsidRDefault="00212D52" w:rsidP="00212D52">
      <w:pPr>
        <w:pStyle w:val="Akapitzlist"/>
        <w:spacing w:before="240" w:after="0"/>
        <w:jc w:val="both"/>
        <w:rPr>
          <w:rFonts w:cstheme="minorHAnsi"/>
          <w:sz w:val="20"/>
          <w:szCs w:val="20"/>
          <w:lang w:val="en-GB"/>
        </w:rPr>
      </w:pPr>
    </w:p>
    <w:p w:rsidR="00212D52" w:rsidRPr="003E34F6" w:rsidRDefault="00576B81" w:rsidP="00CB7A9D">
      <w:pPr>
        <w:rPr>
          <w:rFonts w:cstheme="minorHAnsi"/>
          <w:sz w:val="20"/>
          <w:szCs w:val="20"/>
          <w:lang w:val="en-GB"/>
        </w:rPr>
      </w:pPr>
      <w:r w:rsidRPr="003E34F6">
        <w:rPr>
          <w:rFonts w:cstheme="minorHAnsi"/>
          <w:b/>
          <w:bCs/>
          <w:sz w:val="20"/>
          <w:szCs w:val="20"/>
          <w:lang w:val="en-GB"/>
        </w:rPr>
        <w:t>II.</w:t>
      </w:r>
      <w:r w:rsidRPr="003E34F6">
        <w:rPr>
          <w:rFonts w:cstheme="minorHAnsi"/>
          <w:sz w:val="20"/>
          <w:szCs w:val="20"/>
          <w:lang w:val="en-GB"/>
        </w:rPr>
        <w:t xml:space="preserve"> </w:t>
      </w:r>
      <w:r w:rsidRPr="003E34F6">
        <w:rPr>
          <w:rFonts w:cstheme="minorHAnsi"/>
          <w:b/>
          <w:bCs/>
          <w:sz w:val="20"/>
          <w:szCs w:val="20"/>
          <w:lang w:val="en-GB"/>
        </w:rPr>
        <w:t>Terms</w:t>
      </w:r>
    </w:p>
    <w:p w:rsidR="00212D52" w:rsidRPr="003E34F6" w:rsidRDefault="00212D52" w:rsidP="00212D52">
      <w:pPr>
        <w:pStyle w:val="Akapitzlist"/>
        <w:numPr>
          <w:ilvl w:val="0"/>
          <w:numId w:val="5"/>
        </w:numPr>
        <w:spacing w:before="240" w:after="0"/>
        <w:jc w:val="both"/>
        <w:rPr>
          <w:rFonts w:cstheme="minorHAnsi"/>
          <w:sz w:val="20"/>
          <w:szCs w:val="20"/>
          <w:lang w:val="en-GB"/>
        </w:rPr>
      </w:pPr>
      <w:r w:rsidRPr="003E34F6">
        <w:rPr>
          <w:rFonts w:cstheme="minorHAnsi"/>
          <w:sz w:val="20"/>
          <w:szCs w:val="20"/>
          <w:lang w:val="en-GB"/>
        </w:rPr>
        <w:t xml:space="preserve"> The Company shall not buy back more than </w:t>
      </w:r>
      <w:r w:rsidRPr="003E34F6">
        <w:rPr>
          <w:rFonts w:cstheme="minorHAnsi"/>
          <w:b/>
          <w:bCs/>
          <w:sz w:val="20"/>
          <w:szCs w:val="20"/>
          <w:lang w:val="en-GB"/>
        </w:rPr>
        <w:t xml:space="preserve">666.667 </w:t>
      </w:r>
      <w:r w:rsidRPr="003E34F6">
        <w:rPr>
          <w:rFonts w:cstheme="minorHAnsi"/>
          <w:sz w:val="20"/>
          <w:szCs w:val="20"/>
          <w:lang w:val="en-GB"/>
        </w:rPr>
        <w:t xml:space="preserve">(six hundred sixty six thousand, six hundred and sixty seven) Company shares designated ISIN PLSKLNW00011 for a price of </w:t>
      </w:r>
      <w:r w:rsidRPr="003E34F6">
        <w:rPr>
          <w:rFonts w:cstheme="minorHAnsi"/>
          <w:b/>
          <w:bCs/>
          <w:sz w:val="20"/>
          <w:szCs w:val="20"/>
          <w:lang w:val="en-GB"/>
        </w:rPr>
        <w:t xml:space="preserve">3.00 </w:t>
      </w:r>
      <w:r w:rsidRPr="003E34F6">
        <w:rPr>
          <w:rFonts w:cstheme="minorHAnsi"/>
          <w:sz w:val="20"/>
          <w:szCs w:val="20"/>
          <w:lang w:val="en-GB"/>
        </w:rPr>
        <w:t>(in words: three) zł for each share;</w:t>
      </w:r>
    </w:p>
    <w:p w:rsidR="00AF7ACE" w:rsidRPr="003E34F6" w:rsidRDefault="00A37039" w:rsidP="00AF7ACE">
      <w:pPr>
        <w:pStyle w:val="Akapitzlist"/>
        <w:numPr>
          <w:ilvl w:val="0"/>
          <w:numId w:val="5"/>
        </w:numPr>
        <w:spacing w:before="240" w:after="0"/>
        <w:jc w:val="both"/>
        <w:rPr>
          <w:rFonts w:cstheme="minorHAnsi"/>
          <w:sz w:val="20"/>
          <w:szCs w:val="20"/>
          <w:lang w:val="en-GB"/>
        </w:rPr>
      </w:pPr>
      <w:r w:rsidRPr="003E34F6">
        <w:rPr>
          <w:rFonts w:cstheme="minorHAnsi"/>
          <w:sz w:val="20"/>
          <w:szCs w:val="20"/>
          <w:lang w:val="en-GB"/>
        </w:rPr>
        <w:t xml:space="preserve"> The terms of the buy back have been defined in the Company share buy back regulations adopted by virtue of Resolution No. 1 of the Company Supervisory Board of 20 December 2013. The buy back price was defined by the Company Management Board Resolution No. 1/01/2014 dated 13 January 2014. </w:t>
      </w:r>
    </w:p>
    <w:p w:rsidR="00C549A4" w:rsidRPr="003E34F6" w:rsidRDefault="00AF6013" w:rsidP="00AF7ACE">
      <w:pPr>
        <w:pStyle w:val="Akapitzlist"/>
        <w:numPr>
          <w:ilvl w:val="0"/>
          <w:numId w:val="5"/>
        </w:numPr>
        <w:spacing w:before="240" w:after="0"/>
        <w:jc w:val="both"/>
        <w:rPr>
          <w:rFonts w:cstheme="minorHAnsi"/>
          <w:sz w:val="20"/>
          <w:szCs w:val="20"/>
          <w:lang w:val="en-GB"/>
        </w:rPr>
      </w:pPr>
      <w:r w:rsidRPr="003E34F6">
        <w:rPr>
          <w:rFonts w:cstheme="minorHAnsi"/>
          <w:sz w:val="20"/>
          <w:szCs w:val="20"/>
          <w:lang w:val="en-GB"/>
        </w:rPr>
        <w:t xml:space="preserve">The share sale offers will be accepted by the Company </w:t>
      </w:r>
      <w:r w:rsidRPr="003E34F6">
        <w:rPr>
          <w:rFonts w:cstheme="minorHAnsi"/>
          <w:b/>
          <w:bCs/>
          <w:sz w:val="20"/>
          <w:szCs w:val="20"/>
          <w:lang w:val="en-GB"/>
        </w:rPr>
        <w:t>from 21 to 27 April 2014.</w:t>
      </w:r>
    </w:p>
    <w:p w:rsidR="00AF7ACE" w:rsidRPr="003E34F6" w:rsidRDefault="00AF7ACE" w:rsidP="00AF7ACE">
      <w:pPr>
        <w:pStyle w:val="Akapitzlist"/>
        <w:numPr>
          <w:ilvl w:val="0"/>
          <w:numId w:val="5"/>
        </w:numPr>
        <w:spacing w:before="240" w:after="0"/>
        <w:jc w:val="both"/>
        <w:rPr>
          <w:rFonts w:cstheme="minorHAnsi"/>
          <w:sz w:val="20"/>
          <w:szCs w:val="20"/>
          <w:lang w:val="en-GB"/>
        </w:rPr>
      </w:pPr>
      <w:r w:rsidRPr="003E34F6">
        <w:rPr>
          <w:rFonts w:cstheme="minorHAnsi"/>
          <w:sz w:val="20"/>
          <w:szCs w:val="20"/>
          <w:lang w:val="en-GB"/>
        </w:rPr>
        <w:t xml:space="preserve">The estimated deadline for concluding and settling transaction within the scope of the Offer: </w:t>
      </w:r>
      <w:r w:rsidRPr="003E34F6">
        <w:rPr>
          <w:rFonts w:cstheme="minorHAnsi"/>
          <w:b/>
          <w:bCs/>
          <w:sz w:val="20"/>
          <w:szCs w:val="20"/>
          <w:lang w:val="en-GB"/>
        </w:rPr>
        <w:t>2 April 2014</w:t>
      </w:r>
    </w:p>
    <w:p w:rsidR="00AF7ACE" w:rsidRPr="003E34F6" w:rsidRDefault="00AF7ACE" w:rsidP="00AF7ACE">
      <w:pPr>
        <w:pStyle w:val="Akapitzlist"/>
        <w:numPr>
          <w:ilvl w:val="0"/>
          <w:numId w:val="5"/>
        </w:numPr>
        <w:spacing w:before="240" w:after="0"/>
        <w:jc w:val="both"/>
        <w:rPr>
          <w:rFonts w:cstheme="minorHAnsi"/>
          <w:sz w:val="20"/>
          <w:szCs w:val="20"/>
          <w:lang w:val="en-GB"/>
        </w:rPr>
      </w:pPr>
      <w:r w:rsidRPr="003E34F6">
        <w:rPr>
          <w:rFonts w:cstheme="minorHAnsi"/>
          <w:sz w:val="20"/>
          <w:szCs w:val="20"/>
          <w:lang w:val="en-GB"/>
        </w:rPr>
        <w:t xml:space="preserve">The entities eligible to submit Share Sale Offers within the scope of the Offer are natural persons, legal persons and organisational units without legal personality who hold Shares. </w:t>
      </w:r>
    </w:p>
    <w:p w:rsidR="00AF7ACE" w:rsidRPr="003E34F6" w:rsidRDefault="00AF7ACE" w:rsidP="00AF7ACE">
      <w:pPr>
        <w:pStyle w:val="Akapitzlist"/>
        <w:numPr>
          <w:ilvl w:val="0"/>
          <w:numId w:val="5"/>
        </w:numPr>
        <w:spacing w:before="240" w:after="0"/>
        <w:jc w:val="both"/>
        <w:rPr>
          <w:rFonts w:cstheme="minorHAnsi"/>
          <w:sz w:val="20"/>
          <w:szCs w:val="20"/>
          <w:lang w:val="en-GB"/>
        </w:rPr>
      </w:pPr>
      <w:r w:rsidRPr="003E34F6">
        <w:rPr>
          <w:rFonts w:cstheme="minorHAnsi"/>
          <w:sz w:val="20"/>
          <w:szCs w:val="20"/>
          <w:lang w:val="en-GB"/>
        </w:rPr>
        <w:lastRenderedPageBreak/>
        <w:t xml:space="preserve">The shares being the subject of the Offer have to be fully transferable and free from encumbrances, by any third party rights, the wording of which prevents their sale in response to the Offer, and in particular may not be encumbered by any pledges. </w:t>
      </w:r>
    </w:p>
    <w:p w:rsidR="00CF51D8" w:rsidRPr="003E34F6" w:rsidRDefault="00CF51D8" w:rsidP="00CF51D8">
      <w:pPr>
        <w:pStyle w:val="Akapitzlist"/>
        <w:spacing w:before="240" w:after="0"/>
        <w:ind w:left="0"/>
        <w:jc w:val="both"/>
        <w:rPr>
          <w:rFonts w:cstheme="minorHAnsi"/>
          <w:sz w:val="20"/>
          <w:szCs w:val="20"/>
          <w:lang w:val="en-GB"/>
        </w:rPr>
      </w:pPr>
    </w:p>
    <w:p w:rsidR="00CF51D8" w:rsidRPr="003E34F6" w:rsidRDefault="00576B81" w:rsidP="00576B81">
      <w:pPr>
        <w:rPr>
          <w:rFonts w:cstheme="minorHAnsi"/>
          <w:b/>
          <w:sz w:val="20"/>
          <w:szCs w:val="20"/>
          <w:lang w:val="en-GB"/>
        </w:rPr>
      </w:pPr>
      <w:r w:rsidRPr="003E34F6">
        <w:rPr>
          <w:rFonts w:cstheme="minorHAnsi"/>
          <w:b/>
          <w:bCs/>
          <w:sz w:val="20"/>
          <w:szCs w:val="20"/>
          <w:lang w:val="en-GB"/>
        </w:rPr>
        <w:t>III.</w:t>
      </w:r>
      <w:r w:rsidRPr="003E34F6">
        <w:rPr>
          <w:rFonts w:cstheme="minorHAnsi"/>
          <w:sz w:val="20"/>
          <w:szCs w:val="20"/>
          <w:lang w:val="en-GB"/>
        </w:rPr>
        <w:t> </w:t>
      </w:r>
      <w:r w:rsidRPr="003E34F6">
        <w:rPr>
          <w:rFonts w:cstheme="minorHAnsi"/>
          <w:b/>
          <w:bCs/>
          <w:sz w:val="20"/>
          <w:szCs w:val="20"/>
          <w:lang w:val="en-GB"/>
        </w:rPr>
        <w:t>Submitting Share sale offers procedure</w:t>
      </w:r>
    </w:p>
    <w:p w:rsidR="00CF51D8" w:rsidRPr="003E34F6" w:rsidRDefault="00CF51D8" w:rsidP="00CF51D8">
      <w:pPr>
        <w:pStyle w:val="Akapitzlist"/>
        <w:numPr>
          <w:ilvl w:val="0"/>
          <w:numId w:val="7"/>
        </w:numPr>
        <w:spacing w:before="240" w:after="0"/>
        <w:jc w:val="both"/>
        <w:rPr>
          <w:rFonts w:cstheme="minorHAnsi"/>
          <w:sz w:val="20"/>
          <w:szCs w:val="20"/>
          <w:lang w:val="en-GB"/>
        </w:rPr>
      </w:pPr>
      <w:r w:rsidRPr="003E34F6">
        <w:rPr>
          <w:rFonts w:cstheme="minorHAnsi"/>
          <w:sz w:val="20"/>
          <w:szCs w:val="20"/>
          <w:lang w:val="en-GB"/>
        </w:rPr>
        <w:t xml:space="preserve">Company shareholders may submit Share sale offers at Brokerage House Customer Service Desks during </w:t>
      </w:r>
      <w:r w:rsidRPr="003E34F6">
        <w:rPr>
          <w:rFonts w:cstheme="minorHAnsi"/>
          <w:b/>
          <w:bCs/>
          <w:sz w:val="20"/>
          <w:szCs w:val="20"/>
          <w:lang w:val="en-GB"/>
        </w:rPr>
        <w:t>21 - 27 March 2014</w:t>
      </w:r>
      <w:r w:rsidRPr="003E34F6">
        <w:rPr>
          <w:rFonts w:cstheme="minorHAnsi"/>
          <w:sz w:val="20"/>
          <w:szCs w:val="20"/>
          <w:lang w:val="en-GB"/>
        </w:rPr>
        <w:t xml:space="preserve"> on working days from Monday to Friday during the Customer Service Desks opening times as indicated in point VII. „DM BOŚ S.A. Customer Service Desks”.</w:t>
      </w:r>
    </w:p>
    <w:p w:rsidR="00CF51D8" w:rsidRPr="003E34F6" w:rsidRDefault="00CF51D8" w:rsidP="00CF51D8">
      <w:pPr>
        <w:pStyle w:val="Akapitzlist"/>
        <w:numPr>
          <w:ilvl w:val="0"/>
          <w:numId w:val="7"/>
        </w:numPr>
        <w:spacing w:before="240" w:after="0"/>
        <w:jc w:val="both"/>
        <w:rPr>
          <w:rFonts w:cstheme="minorHAnsi"/>
          <w:sz w:val="20"/>
          <w:szCs w:val="20"/>
          <w:lang w:val="en-GB"/>
        </w:rPr>
      </w:pPr>
      <w:r w:rsidRPr="003E34F6">
        <w:rPr>
          <w:rFonts w:cstheme="minorHAnsi"/>
          <w:sz w:val="20"/>
          <w:szCs w:val="20"/>
          <w:lang w:val="en-GB"/>
        </w:rPr>
        <w:t xml:space="preserve">A shareholder looking to sell Shares within the scope of the Offer should complete perform the following during the period </w:t>
      </w:r>
      <w:r w:rsidRPr="003E34F6">
        <w:rPr>
          <w:rFonts w:cstheme="minorHAnsi"/>
          <w:b/>
          <w:bCs/>
          <w:sz w:val="20"/>
          <w:szCs w:val="20"/>
          <w:lang w:val="en-GB"/>
        </w:rPr>
        <w:t>21 - 27 March 2014:</w:t>
      </w:r>
      <w:r w:rsidRPr="003E34F6">
        <w:rPr>
          <w:rFonts w:cstheme="minorHAnsi"/>
          <w:sz w:val="20"/>
          <w:szCs w:val="20"/>
          <w:lang w:val="en-GB"/>
        </w:rPr>
        <w:t xml:space="preserve"> </w:t>
      </w:r>
    </w:p>
    <w:p w:rsidR="00CF51D8" w:rsidRPr="003E34F6" w:rsidRDefault="00CF51D8" w:rsidP="00CF51D8">
      <w:pPr>
        <w:pStyle w:val="Akapitzlist"/>
        <w:numPr>
          <w:ilvl w:val="1"/>
          <w:numId w:val="8"/>
        </w:numPr>
        <w:spacing w:before="240" w:after="0"/>
        <w:ind w:left="1134" w:hanging="306"/>
        <w:jc w:val="both"/>
        <w:rPr>
          <w:rFonts w:cstheme="minorHAnsi"/>
          <w:sz w:val="20"/>
          <w:szCs w:val="20"/>
          <w:lang w:val="en-GB"/>
        </w:rPr>
      </w:pPr>
      <w:r w:rsidRPr="003E34F6">
        <w:rPr>
          <w:rFonts w:cstheme="minorHAnsi"/>
          <w:sz w:val="20"/>
          <w:szCs w:val="20"/>
          <w:lang w:val="en-GB"/>
        </w:rPr>
        <w:t xml:space="preserve">submit, to the entity holding the securities account where the Shareholder's shares are recorded, an </w:t>
      </w:r>
      <w:r w:rsidRPr="003E34F6">
        <w:rPr>
          <w:rFonts w:cstheme="minorHAnsi"/>
          <w:b/>
          <w:bCs/>
          <w:sz w:val="20"/>
          <w:szCs w:val="20"/>
          <w:lang w:val="en-GB"/>
        </w:rPr>
        <w:t xml:space="preserve">instruction to suspend </w:t>
      </w:r>
      <w:r w:rsidRPr="003E34F6">
        <w:rPr>
          <w:rFonts w:cstheme="minorHAnsi"/>
          <w:sz w:val="20"/>
          <w:szCs w:val="20"/>
          <w:lang w:val="en-GB"/>
        </w:rPr>
        <w:t xml:space="preserve">such Shares until and including the day on which the transaction is settled and to submit an irrevocable </w:t>
      </w:r>
      <w:r w:rsidRPr="003E34F6">
        <w:rPr>
          <w:rFonts w:cstheme="minorHAnsi"/>
          <w:b/>
          <w:bCs/>
          <w:sz w:val="20"/>
          <w:szCs w:val="20"/>
          <w:lang w:val="en-GB"/>
        </w:rPr>
        <w:t xml:space="preserve">instruction to issue settlement instruction </w:t>
      </w:r>
      <w:r w:rsidRPr="003E34F6">
        <w:rPr>
          <w:rFonts w:cstheme="minorHAnsi"/>
          <w:sz w:val="20"/>
          <w:szCs w:val="20"/>
          <w:lang w:val="en-GB"/>
        </w:rPr>
        <w:t xml:space="preserve">(payable) assigning Share ownership right for the benefit of the Company, in accordance with the terms as defined in the Offer (taking into account any discounts) and price defined in point II of the Offer Terms. The instructions should be valid at least until the day the transactions is settled (inclusive) and </w:t>
      </w:r>
    </w:p>
    <w:p w:rsidR="00CF51D8" w:rsidRPr="003E34F6" w:rsidRDefault="00CF51D8" w:rsidP="00CF51D8">
      <w:pPr>
        <w:pStyle w:val="Akapitzlist"/>
        <w:numPr>
          <w:ilvl w:val="1"/>
          <w:numId w:val="8"/>
        </w:numPr>
        <w:spacing w:before="240" w:after="0"/>
        <w:ind w:left="1134" w:hanging="306"/>
        <w:jc w:val="both"/>
        <w:rPr>
          <w:rFonts w:cstheme="minorHAnsi"/>
          <w:sz w:val="20"/>
          <w:szCs w:val="20"/>
          <w:lang w:val="en-GB"/>
        </w:rPr>
      </w:pPr>
      <w:r w:rsidRPr="003E34F6">
        <w:rPr>
          <w:rFonts w:cstheme="minorHAnsi"/>
          <w:sz w:val="20"/>
          <w:szCs w:val="20"/>
          <w:lang w:val="en-GB"/>
        </w:rPr>
        <w:t xml:space="preserve">obtain a </w:t>
      </w:r>
      <w:r w:rsidRPr="003E34F6">
        <w:rPr>
          <w:rFonts w:cstheme="minorHAnsi"/>
          <w:b/>
          <w:bCs/>
          <w:sz w:val="20"/>
          <w:szCs w:val="20"/>
          <w:lang w:val="en-GB"/>
        </w:rPr>
        <w:t>certificate of deposit</w:t>
      </w:r>
      <w:r w:rsidRPr="003E34F6">
        <w:rPr>
          <w:rFonts w:cstheme="minorHAnsi"/>
          <w:sz w:val="20"/>
          <w:szCs w:val="20"/>
          <w:lang w:val="en-GB"/>
        </w:rPr>
        <w:t xml:space="preserve"> issued for the Shares offered for sale in response to the Offer, and </w:t>
      </w:r>
    </w:p>
    <w:p w:rsidR="00CF51D8" w:rsidRPr="003E34F6" w:rsidRDefault="00CF51D8" w:rsidP="00CF51D8">
      <w:pPr>
        <w:pStyle w:val="Akapitzlist"/>
        <w:numPr>
          <w:ilvl w:val="1"/>
          <w:numId w:val="8"/>
        </w:numPr>
        <w:spacing w:before="240" w:after="0"/>
        <w:ind w:left="1134" w:hanging="306"/>
        <w:jc w:val="both"/>
        <w:rPr>
          <w:rFonts w:cstheme="minorHAnsi"/>
          <w:sz w:val="20"/>
          <w:szCs w:val="20"/>
          <w:lang w:val="en-GB"/>
        </w:rPr>
      </w:pPr>
      <w:r w:rsidRPr="003E34F6">
        <w:rPr>
          <w:rFonts w:cstheme="minorHAnsi"/>
          <w:sz w:val="20"/>
          <w:szCs w:val="20"/>
          <w:lang w:val="en-GB"/>
        </w:rPr>
        <w:t xml:space="preserve">submit, during the Share sale offer validity period, i.e. during 21-27 March 2004, at one of the Customer Service Points indicated in point VII „DM BOŚ S.A. Customer Service Desks” the </w:t>
      </w:r>
      <w:r w:rsidRPr="003E34F6">
        <w:rPr>
          <w:rFonts w:cstheme="minorHAnsi"/>
          <w:b/>
          <w:bCs/>
          <w:sz w:val="20"/>
          <w:szCs w:val="20"/>
          <w:lang w:val="en-GB"/>
        </w:rPr>
        <w:t xml:space="preserve">original certificate of deposit, </w:t>
      </w:r>
      <w:r w:rsidRPr="003E34F6">
        <w:rPr>
          <w:rFonts w:cstheme="minorHAnsi"/>
          <w:sz w:val="20"/>
          <w:szCs w:val="20"/>
          <w:lang w:val="en-GB"/>
        </w:rPr>
        <w:t xml:space="preserve">confirming the suspension of the Shares and </w:t>
      </w:r>
      <w:r w:rsidR="003E34F6">
        <w:rPr>
          <w:rFonts w:cstheme="minorHAnsi"/>
          <w:sz w:val="20"/>
          <w:szCs w:val="20"/>
          <w:lang w:val="en-GB"/>
        </w:rPr>
        <w:t>the</w:t>
      </w:r>
      <w:r w:rsidR="003E34F6">
        <w:rPr>
          <w:rFonts w:cstheme="minorHAnsi"/>
          <w:b/>
          <w:bCs/>
          <w:sz w:val="20"/>
          <w:szCs w:val="20"/>
          <w:lang w:val="en-GB"/>
        </w:rPr>
        <w:t xml:space="preserve"> Share sale</w:t>
      </w:r>
      <w:r w:rsidRPr="003E34F6">
        <w:rPr>
          <w:rFonts w:cstheme="minorHAnsi"/>
          <w:b/>
          <w:bCs/>
          <w:sz w:val="20"/>
          <w:szCs w:val="20"/>
          <w:lang w:val="en-GB"/>
        </w:rPr>
        <w:t xml:space="preserve"> offer form.</w:t>
      </w:r>
      <w:r w:rsidRPr="003E34F6">
        <w:rPr>
          <w:rFonts w:cstheme="minorHAnsi"/>
          <w:sz w:val="20"/>
          <w:szCs w:val="20"/>
          <w:lang w:val="en-GB"/>
        </w:rPr>
        <w:t xml:space="preserve"> The Share sale offer form should be completed and signed in two copies (one for the shareholder making the Share sale Offer and the Brokerage House). </w:t>
      </w:r>
    </w:p>
    <w:p w:rsidR="00CF51D8" w:rsidRPr="003E34F6" w:rsidRDefault="00CF51D8" w:rsidP="00632B69">
      <w:pPr>
        <w:spacing w:before="240" w:after="0"/>
        <w:ind w:left="360"/>
        <w:jc w:val="both"/>
        <w:rPr>
          <w:rFonts w:cstheme="minorHAnsi"/>
          <w:sz w:val="20"/>
          <w:szCs w:val="20"/>
          <w:lang w:val="en-GB"/>
        </w:rPr>
      </w:pPr>
      <w:r w:rsidRPr="003E34F6">
        <w:rPr>
          <w:rFonts w:cstheme="minorHAnsi"/>
          <w:sz w:val="20"/>
          <w:szCs w:val="20"/>
          <w:lang w:val="en-GB"/>
        </w:rPr>
        <w:t xml:space="preserve">The aforementioned forms shall be made available at the Customer Service Points indicated in point VII „DM BOŚ S.A. Customer Service Desks S.A. Customer Service Desks” and shall be provided to entities holding securities accounts. The forms submitted by shareholders at the Customer Service Points shall be ineffective unless should be correct and signed. </w:t>
      </w:r>
    </w:p>
    <w:p w:rsidR="00CF51D8" w:rsidRPr="003E34F6" w:rsidRDefault="00CF51D8" w:rsidP="00632B69">
      <w:pPr>
        <w:spacing w:before="240" w:after="0"/>
        <w:ind w:left="360"/>
        <w:jc w:val="both"/>
        <w:rPr>
          <w:rFonts w:cstheme="minorHAnsi"/>
          <w:sz w:val="20"/>
          <w:szCs w:val="20"/>
          <w:lang w:val="en-GB"/>
        </w:rPr>
      </w:pPr>
      <w:r w:rsidRPr="003E34F6">
        <w:rPr>
          <w:rFonts w:cstheme="minorHAnsi"/>
          <w:sz w:val="20"/>
          <w:szCs w:val="20"/>
          <w:lang w:val="en-GB"/>
        </w:rPr>
        <w:t xml:space="preserve">Private persons responding to the Offer should present, at selected Customer Service Points accepting Share sale offers a document confirming identity (ID card or passport) and physical persons representing legal persons or organisational entities without a legal personality should additionally present a current entry (copy) from the correct register or another document confirming authority to act on behalf of the legal; person or organisational entity without a legal personality (unless such authority stems from the presented entry from an appropriate register). </w:t>
      </w:r>
    </w:p>
    <w:p w:rsidR="00CF51D8" w:rsidRPr="003E34F6" w:rsidRDefault="00CF51D8" w:rsidP="00632B69">
      <w:pPr>
        <w:spacing w:before="240" w:after="0"/>
        <w:ind w:left="360"/>
        <w:jc w:val="both"/>
        <w:rPr>
          <w:rFonts w:cstheme="minorHAnsi"/>
          <w:sz w:val="20"/>
          <w:szCs w:val="20"/>
          <w:lang w:val="en-GB"/>
        </w:rPr>
      </w:pPr>
      <w:r w:rsidRPr="003E34F6">
        <w:rPr>
          <w:rFonts w:cstheme="minorHAnsi"/>
          <w:sz w:val="20"/>
          <w:szCs w:val="20"/>
          <w:lang w:val="en-GB"/>
        </w:rPr>
        <w:t>Staff at banks holding securities accounts (trustee bank), who are submitting Share sale offers on behalf of Clients with trustee accounts, should hold appropriate entitlements from the bank authorities to submit a Share sale offer and a power of attorney granted by the Client.</w:t>
      </w:r>
    </w:p>
    <w:p w:rsidR="0097531C" w:rsidRPr="003E34F6" w:rsidRDefault="0097531C" w:rsidP="003A100C">
      <w:pPr>
        <w:pStyle w:val="Akapitzlist"/>
        <w:numPr>
          <w:ilvl w:val="0"/>
          <w:numId w:val="15"/>
        </w:numPr>
        <w:spacing w:before="240" w:after="0"/>
        <w:jc w:val="both"/>
        <w:rPr>
          <w:rFonts w:cstheme="minorHAnsi"/>
          <w:b/>
          <w:sz w:val="20"/>
          <w:szCs w:val="20"/>
          <w:lang w:val="en-GB"/>
        </w:rPr>
      </w:pPr>
      <w:r w:rsidRPr="003E34F6">
        <w:rPr>
          <w:rFonts w:cstheme="minorHAnsi"/>
          <w:b/>
          <w:bCs/>
          <w:sz w:val="20"/>
          <w:szCs w:val="20"/>
          <w:lang w:val="en-GB"/>
        </w:rPr>
        <w:t>Acting through an authorised representative</w:t>
      </w:r>
      <w:r w:rsidRPr="003E34F6">
        <w:rPr>
          <w:rFonts w:cstheme="minorHAnsi"/>
          <w:sz w:val="20"/>
          <w:szCs w:val="20"/>
          <w:lang w:val="en-GB"/>
        </w:rPr>
        <w:t xml:space="preserve"> </w:t>
      </w:r>
    </w:p>
    <w:p w:rsidR="0097531C" w:rsidRPr="003E34F6" w:rsidRDefault="0097531C" w:rsidP="00871E95">
      <w:pPr>
        <w:spacing w:before="240" w:after="0"/>
        <w:ind w:left="360"/>
        <w:jc w:val="both"/>
        <w:rPr>
          <w:rFonts w:cstheme="minorHAnsi"/>
          <w:sz w:val="20"/>
          <w:szCs w:val="20"/>
          <w:lang w:val="en-GB"/>
        </w:rPr>
      </w:pPr>
      <w:r w:rsidRPr="003E34F6">
        <w:rPr>
          <w:rFonts w:cstheme="minorHAnsi"/>
          <w:sz w:val="20"/>
          <w:szCs w:val="20"/>
          <w:lang w:val="en-GB"/>
        </w:rPr>
        <w:t xml:space="preserve">The Share sale offer may be submitted by a shareholder or its authorised representative who is a physical or legal person (authorised representative, subject to the circumstances as defined hereinbelow, has to present a power of attorney the wording of which coincides with the sample made available by the Brokerage House: (i) in writing, certified by the entity running the Client's security account who issued the deposit of security, or (ii) with a signature certified by a notary or (ii) drawn up in the form of a notarial deed). A power of attorney issued abroad, should be apostille certified or certified by a Polish diplomatic </w:t>
      </w:r>
      <w:r w:rsidRPr="003E34F6">
        <w:rPr>
          <w:rFonts w:cstheme="minorHAnsi"/>
          <w:sz w:val="20"/>
          <w:szCs w:val="20"/>
          <w:lang w:val="en-GB"/>
        </w:rPr>
        <w:lastRenderedPageBreak/>
        <w:t xml:space="preserve">mission or consulate and translated by a certified translator into Polish. The power Of attorney should authorise the authorised representative to: </w:t>
      </w:r>
    </w:p>
    <w:p w:rsidR="0097531C" w:rsidRPr="003E34F6" w:rsidRDefault="0097531C" w:rsidP="00871E95">
      <w:pPr>
        <w:pStyle w:val="Akapitzlist"/>
        <w:numPr>
          <w:ilvl w:val="1"/>
          <w:numId w:val="12"/>
        </w:numPr>
        <w:spacing w:before="240" w:after="0"/>
        <w:ind w:left="1026"/>
        <w:jc w:val="both"/>
        <w:rPr>
          <w:rFonts w:cstheme="minorHAnsi"/>
          <w:sz w:val="20"/>
          <w:szCs w:val="20"/>
          <w:lang w:val="en-GB"/>
        </w:rPr>
      </w:pPr>
      <w:r w:rsidRPr="003E34F6">
        <w:rPr>
          <w:rFonts w:cstheme="minorHAnsi"/>
          <w:sz w:val="20"/>
          <w:szCs w:val="20"/>
          <w:lang w:val="en-GB"/>
        </w:rPr>
        <w:t xml:space="preserve">submit share suspension instructions until the transaction is settled (inclusive) </w:t>
      </w:r>
    </w:p>
    <w:p w:rsidR="0097531C" w:rsidRPr="003E34F6" w:rsidRDefault="0097531C" w:rsidP="00871E95">
      <w:pPr>
        <w:pStyle w:val="Akapitzlist"/>
        <w:numPr>
          <w:ilvl w:val="1"/>
          <w:numId w:val="12"/>
        </w:numPr>
        <w:spacing w:before="240" w:after="0"/>
        <w:ind w:left="1026"/>
        <w:jc w:val="both"/>
        <w:rPr>
          <w:rFonts w:cstheme="minorHAnsi"/>
          <w:sz w:val="20"/>
          <w:szCs w:val="20"/>
          <w:lang w:val="en-GB"/>
        </w:rPr>
      </w:pPr>
      <w:r w:rsidRPr="003E34F6">
        <w:rPr>
          <w:rFonts w:cstheme="minorHAnsi"/>
          <w:sz w:val="20"/>
          <w:szCs w:val="20"/>
          <w:lang w:val="en-GB"/>
        </w:rPr>
        <w:t xml:space="preserve">submit to the entity running the shareholder's investment account an irrevocable instruction to issue settlement instructions allowing for the assignment of Share ownership to the Company pursuant to the terns as referred to in the Offer; </w:t>
      </w:r>
    </w:p>
    <w:p w:rsidR="0097531C" w:rsidRPr="003E34F6" w:rsidRDefault="0097531C" w:rsidP="00871E95">
      <w:pPr>
        <w:pStyle w:val="Akapitzlist"/>
        <w:numPr>
          <w:ilvl w:val="1"/>
          <w:numId w:val="12"/>
        </w:numPr>
        <w:spacing w:before="240" w:after="0"/>
        <w:ind w:left="1026"/>
        <w:jc w:val="both"/>
        <w:rPr>
          <w:rFonts w:cstheme="minorHAnsi"/>
          <w:sz w:val="20"/>
          <w:szCs w:val="20"/>
          <w:lang w:val="en-GB"/>
        </w:rPr>
      </w:pPr>
      <w:r w:rsidRPr="003E34F6">
        <w:rPr>
          <w:rFonts w:cstheme="minorHAnsi"/>
          <w:sz w:val="20"/>
          <w:szCs w:val="20"/>
          <w:lang w:val="en-GB"/>
        </w:rPr>
        <w:t xml:space="preserve">collect the certificate of deposit issued for Shares suspended within the scope of the Offer; </w:t>
      </w:r>
    </w:p>
    <w:p w:rsidR="0097531C" w:rsidRPr="003E34F6" w:rsidRDefault="0097531C" w:rsidP="00871E95">
      <w:pPr>
        <w:pStyle w:val="Akapitzlist"/>
        <w:numPr>
          <w:ilvl w:val="1"/>
          <w:numId w:val="12"/>
        </w:numPr>
        <w:spacing w:before="240" w:after="0"/>
        <w:ind w:left="1026"/>
        <w:jc w:val="both"/>
        <w:rPr>
          <w:rFonts w:cstheme="minorHAnsi"/>
          <w:sz w:val="20"/>
          <w:szCs w:val="20"/>
          <w:lang w:val="en-GB"/>
        </w:rPr>
      </w:pPr>
      <w:r w:rsidRPr="003E34F6">
        <w:rPr>
          <w:rFonts w:cstheme="minorHAnsi"/>
          <w:sz w:val="20"/>
          <w:szCs w:val="20"/>
          <w:lang w:val="en-GB"/>
        </w:rPr>
        <w:t xml:space="preserve">submit the certificate of deposit and Share sale offer in response to the Offer as one of the Customer Service Points indicated in point VII. </w:t>
      </w:r>
    </w:p>
    <w:p w:rsidR="003A100C" w:rsidRPr="003E34F6" w:rsidRDefault="003A100C" w:rsidP="00871E95">
      <w:pPr>
        <w:pStyle w:val="Akapitzlist"/>
        <w:spacing w:before="240" w:after="0"/>
        <w:ind w:left="1026"/>
        <w:jc w:val="both"/>
        <w:rPr>
          <w:rFonts w:cstheme="minorHAnsi"/>
          <w:sz w:val="20"/>
          <w:szCs w:val="20"/>
          <w:lang w:val="en-GB"/>
        </w:rPr>
      </w:pPr>
    </w:p>
    <w:p w:rsidR="00632B69" w:rsidRPr="003E34F6" w:rsidRDefault="00632B69" w:rsidP="003A100C">
      <w:pPr>
        <w:pStyle w:val="Akapitzlist"/>
        <w:numPr>
          <w:ilvl w:val="0"/>
          <w:numId w:val="15"/>
        </w:numPr>
        <w:spacing w:before="240" w:after="0"/>
        <w:jc w:val="both"/>
        <w:rPr>
          <w:rFonts w:cstheme="minorHAnsi"/>
          <w:b/>
          <w:sz w:val="20"/>
          <w:szCs w:val="20"/>
          <w:lang w:val="en-GB"/>
        </w:rPr>
      </w:pPr>
      <w:r w:rsidRPr="003E34F6">
        <w:rPr>
          <w:rFonts w:cstheme="minorHAnsi"/>
          <w:b/>
          <w:bCs/>
          <w:sz w:val="20"/>
          <w:szCs w:val="20"/>
          <w:lang w:val="en-GB"/>
        </w:rPr>
        <w:t>Purchasing shares from shareholders</w:t>
      </w:r>
    </w:p>
    <w:p w:rsidR="00632B69" w:rsidRPr="003E34F6" w:rsidRDefault="00632B69" w:rsidP="00632B69">
      <w:pPr>
        <w:spacing w:before="240" w:after="0"/>
        <w:ind w:left="360"/>
        <w:jc w:val="both"/>
        <w:rPr>
          <w:rFonts w:cstheme="minorHAnsi"/>
          <w:sz w:val="20"/>
          <w:szCs w:val="20"/>
          <w:lang w:val="en-GB"/>
        </w:rPr>
      </w:pPr>
      <w:r w:rsidRPr="003E34F6">
        <w:rPr>
          <w:rFonts w:cstheme="minorHAnsi"/>
          <w:sz w:val="20"/>
          <w:szCs w:val="20"/>
          <w:lang w:val="en-GB"/>
        </w:rPr>
        <w:t>The Company shall purchase Shares up to a maximum amount of 666,667 from shareholders who correctly submit Share sale offers.</w:t>
      </w:r>
    </w:p>
    <w:p w:rsidR="004921CF" w:rsidRPr="003E34F6" w:rsidRDefault="004921CF" w:rsidP="00632B69">
      <w:pPr>
        <w:spacing w:before="240" w:after="0"/>
        <w:ind w:left="360"/>
        <w:jc w:val="both"/>
        <w:rPr>
          <w:rFonts w:cstheme="minorHAnsi"/>
          <w:sz w:val="20"/>
          <w:szCs w:val="20"/>
          <w:lang w:val="en-GB"/>
        </w:rPr>
      </w:pPr>
      <w:r w:rsidRPr="003E34F6">
        <w:rPr>
          <w:rFonts w:cstheme="minorHAnsi"/>
          <w:sz w:val="20"/>
          <w:szCs w:val="20"/>
          <w:lang w:val="en-GB"/>
        </w:rPr>
        <w:t xml:space="preserve">In the event of the number of Shares subscribed by the Share sale offers submitted within the period of accepting Share sale offers exceeding the amount of shares provided in point II of the Terms , all Share sale offers will be reduced proportionally. </w:t>
      </w:r>
    </w:p>
    <w:p w:rsidR="004921CF" w:rsidRPr="003E34F6" w:rsidRDefault="004921CF" w:rsidP="00632B69">
      <w:pPr>
        <w:spacing w:before="240" w:after="0"/>
        <w:ind w:left="360"/>
        <w:jc w:val="both"/>
        <w:rPr>
          <w:rFonts w:cstheme="minorHAnsi"/>
          <w:sz w:val="20"/>
          <w:szCs w:val="20"/>
          <w:lang w:val="en-GB"/>
        </w:rPr>
      </w:pPr>
      <w:r w:rsidRPr="003E34F6">
        <w:rPr>
          <w:rFonts w:cstheme="minorHAnsi"/>
          <w:sz w:val="20"/>
          <w:szCs w:val="20"/>
          <w:lang w:val="en-GB"/>
        </w:rPr>
        <w:t xml:space="preserve">If, after the proportional reduction of Shares is applied fractional shares remain, these Shares will be allocated in order starting from the largest Share sale offers to the smallest, until shares last. </w:t>
      </w:r>
    </w:p>
    <w:p w:rsidR="004921CF" w:rsidRPr="003E34F6" w:rsidRDefault="004921CF" w:rsidP="00632B69">
      <w:pPr>
        <w:spacing w:before="240" w:after="0"/>
        <w:ind w:left="360"/>
        <w:jc w:val="both"/>
        <w:rPr>
          <w:rFonts w:cstheme="minorHAnsi"/>
          <w:sz w:val="20"/>
          <w:szCs w:val="20"/>
          <w:lang w:val="en-GB"/>
        </w:rPr>
      </w:pPr>
      <w:r w:rsidRPr="003E34F6">
        <w:rPr>
          <w:rFonts w:cstheme="minorHAnsi"/>
          <w:sz w:val="20"/>
          <w:szCs w:val="20"/>
          <w:lang w:val="en-GB"/>
        </w:rPr>
        <w:t>Only Share sale offers submitted in accordance with the above Terns and Procedure for submitting Share sale offers. In particular, Share sale offers completed incorrectly, or not signed , or offers to which a certificate of deposit has not been attached or one which has been drawn up incorrectly or ones where the certificate of deposit has not been certified by the entity issuing such a certificate of deposit. The Share ownership rights shall be acquired by the Company as a result of an assignment of ownership rights outside of the regulated market. The assignment of ownership rights for shares being held by the shareholders, who submit correct Share sale offers to the Company shall be settled within the scope of the Krajowy Depozyt Papierów Wartościowych S.A. („KDPW”) deposit and settlement system. The intermediate entity for the assignment of ownership rights to the Company is Dom Maklerski BOŚ S.A.</w:t>
      </w:r>
    </w:p>
    <w:p w:rsidR="00CA76A5" w:rsidRPr="003E34F6" w:rsidRDefault="00CA76A5" w:rsidP="00871E95">
      <w:pPr>
        <w:pStyle w:val="Akapitzlist"/>
        <w:numPr>
          <w:ilvl w:val="0"/>
          <w:numId w:val="15"/>
        </w:numPr>
        <w:spacing w:before="240" w:after="0"/>
        <w:jc w:val="both"/>
        <w:rPr>
          <w:rFonts w:cstheme="minorHAnsi"/>
          <w:b/>
          <w:sz w:val="20"/>
          <w:szCs w:val="20"/>
          <w:lang w:val="en-GB"/>
        </w:rPr>
      </w:pPr>
      <w:r w:rsidRPr="003E34F6">
        <w:rPr>
          <w:rFonts w:cstheme="minorHAnsi"/>
          <w:b/>
          <w:bCs/>
          <w:sz w:val="20"/>
          <w:szCs w:val="20"/>
          <w:lang w:val="en-GB"/>
        </w:rPr>
        <w:t>Payment for shares purchased within the scope of the Offer</w:t>
      </w:r>
      <w:r w:rsidRPr="003E34F6">
        <w:rPr>
          <w:rFonts w:cstheme="minorHAnsi"/>
          <w:sz w:val="20"/>
          <w:szCs w:val="20"/>
          <w:lang w:val="en-GB"/>
        </w:rPr>
        <w:t xml:space="preserve"> </w:t>
      </w:r>
    </w:p>
    <w:p w:rsidR="00CA76A5" w:rsidRPr="003E34F6" w:rsidRDefault="00CA76A5" w:rsidP="00871E95">
      <w:pPr>
        <w:spacing w:before="240" w:after="0"/>
        <w:ind w:left="360"/>
        <w:jc w:val="both"/>
        <w:rPr>
          <w:rFonts w:cstheme="minorHAnsi"/>
          <w:sz w:val="20"/>
          <w:szCs w:val="20"/>
          <w:lang w:val="en-GB"/>
        </w:rPr>
      </w:pPr>
      <w:r w:rsidRPr="003E34F6">
        <w:rPr>
          <w:rFonts w:cstheme="minorHAnsi"/>
          <w:sz w:val="20"/>
          <w:szCs w:val="20"/>
          <w:lang w:val="en-GB"/>
        </w:rPr>
        <w:t xml:space="preserve">All Shares purchased within the scope of the Offer shall be paid for in cash. The amount constituting a product of the number of Shares purchased from individual shareholders submitting Share sale offers (taking into consideration the possible subscription reduction) and the price for one share, shall be transferred to the accounts of entities running shareholders' accounts (issuing settlement instructions) jointly for all shareholders holding securities accounts with a given entity. </w:t>
      </w:r>
    </w:p>
    <w:p w:rsidR="004921CF" w:rsidRPr="003E34F6" w:rsidRDefault="00CA76A5" w:rsidP="00871E95">
      <w:pPr>
        <w:spacing w:before="240" w:after="0"/>
        <w:ind w:left="360"/>
        <w:jc w:val="both"/>
        <w:rPr>
          <w:rFonts w:cstheme="minorHAnsi"/>
          <w:sz w:val="20"/>
          <w:szCs w:val="20"/>
          <w:lang w:val="en-GB"/>
        </w:rPr>
      </w:pPr>
      <w:r w:rsidRPr="003E34F6">
        <w:rPr>
          <w:rFonts w:cstheme="minorHAnsi"/>
          <w:sz w:val="20"/>
          <w:szCs w:val="20"/>
          <w:lang w:val="en-GB"/>
        </w:rPr>
        <w:t>The assignment of Share rights being subject of a Share sale offer submitted by shareholders, should take place immediately after the KDPW copies are received confirming the assignment of Share rights to the Company by the entities holding securities accounts for these shareholders (subject to a commission due to such an entity on account of the assignment of Share rights within the scope of the Offer). Shareholders who intend to submit Share sale offers should contact the entities holding their securities accounts in order to establish the charges due to those entities on account of the assignment of Share rights within the scope of the Offer.</w:t>
      </w:r>
    </w:p>
    <w:p w:rsidR="00576B81" w:rsidRPr="003E34F6" w:rsidRDefault="00576B81" w:rsidP="00576B81">
      <w:pPr>
        <w:pStyle w:val="Akapitzlist"/>
        <w:spacing w:before="240" w:after="0"/>
        <w:jc w:val="both"/>
        <w:rPr>
          <w:rFonts w:cstheme="minorHAnsi"/>
          <w:sz w:val="20"/>
          <w:szCs w:val="20"/>
          <w:lang w:val="en-GB"/>
        </w:rPr>
      </w:pPr>
    </w:p>
    <w:p w:rsidR="00576B81" w:rsidRPr="003E34F6" w:rsidRDefault="00576B81" w:rsidP="00871E95">
      <w:pPr>
        <w:pStyle w:val="Akapitzlist"/>
        <w:numPr>
          <w:ilvl w:val="0"/>
          <w:numId w:val="15"/>
        </w:numPr>
        <w:rPr>
          <w:rFonts w:cstheme="minorHAnsi"/>
          <w:b/>
          <w:sz w:val="20"/>
          <w:szCs w:val="20"/>
          <w:lang w:val="en-GB"/>
        </w:rPr>
      </w:pPr>
      <w:r w:rsidRPr="003E34F6">
        <w:rPr>
          <w:rFonts w:cstheme="minorHAnsi"/>
          <w:sz w:val="20"/>
          <w:szCs w:val="20"/>
          <w:lang w:val="en-GB"/>
        </w:rPr>
        <w:t> </w:t>
      </w:r>
      <w:r w:rsidRPr="003E34F6">
        <w:rPr>
          <w:rFonts w:cstheme="minorHAnsi"/>
          <w:b/>
          <w:bCs/>
          <w:sz w:val="20"/>
          <w:szCs w:val="20"/>
          <w:lang w:val="en-GB"/>
        </w:rPr>
        <w:t>DM BOŚ S.A. Customer Service Desks</w:t>
      </w:r>
    </w:p>
    <w:p w:rsidR="003732FA" w:rsidRPr="003E34F6" w:rsidRDefault="00576B81" w:rsidP="007958E1">
      <w:pPr>
        <w:spacing w:before="240" w:after="0"/>
        <w:jc w:val="both"/>
        <w:rPr>
          <w:rFonts w:cstheme="minorHAnsi"/>
          <w:sz w:val="20"/>
          <w:szCs w:val="20"/>
          <w:lang w:val="en-GB"/>
        </w:rPr>
      </w:pPr>
      <w:r w:rsidRPr="003E34F6">
        <w:rPr>
          <w:rFonts w:cstheme="minorHAnsi"/>
          <w:sz w:val="20"/>
          <w:szCs w:val="20"/>
          <w:lang w:val="en-GB"/>
        </w:rPr>
        <w:lastRenderedPageBreak/>
        <w:t>Share sale offers in reply to the Company's offer shall be accepted by the following Brokerage House Customer Service Desks:</w:t>
      </w:r>
    </w:p>
    <w:p w:rsidR="00C616B2" w:rsidRPr="003E34F6" w:rsidRDefault="00C616B2" w:rsidP="007958E1">
      <w:pPr>
        <w:spacing w:after="0"/>
        <w:jc w:val="both"/>
        <w:rPr>
          <w:rFonts w:cstheme="minorHAnsi"/>
          <w:sz w:val="20"/>
          <w:szCs w:val="20"/>
          <w:lang w:val="en-GB"/>
        </w:rPr>
      </w:pPr>
    </w:p>
    <w:tbl>
      <w:tblPr>
        <w:tblW w:w="4847" w:type="pct"/>
        <w:tblInd w:w="70" w:type="dxa"/>
        <w:tblBorders>
          <w:top w:val="single" w:sz="4" w:space="0" w:color="auto"/>
          <w:bottom w:val="single" w:sz="4" w:space="0" w:color="auto"/>
          <w:insideH w:val="single" w:sz="4" w:space="0" w:color="auto"/>
        </w:tblBorders>
        <w:tblCellMar>
          <w:top w:w="57" w:type="dxa"/>
          <w:left w:w="70" w:type="dxa"/>
          <w:bottom w:w="57" w:type="dxa"/>
          <w:right w:w="70" w:type="dxa"/>
        </w:tblCellMar>
        <w:tblLook w:val="0000"/>
      </w:tblPr>
      <w:tblGrid>
        <w:gridCol w:w="562"/>
        <w:gridCol w:w="1931"/>
        <w:gridCol w:w="1227"/>
        <w:gridCol w:w="2942"/>
        <w:gridCol w:w="2268"/>
      </w:tblGrid>
      <w:tr w:rsidR="003732FA" w:rsidRPr="003E34F6" w:rsidTr="003732FA">
        <w:tc>
          <w:tcPr>
            <w:tcW w:w="315" w:type="pct"/>
            <w:vAlign w:val="center"/>
          </w:tcPr>
          <w:p w:rsidR="003732FA" w:rsidRPr="003E34F6" w:rsidRDefault="003732FA" w:rsidP="003732FA">
            <w:pPr>
              <w:autoSpaceDE w:val="0"/>
              <w:autoSpaceDN w:val="0"/>
              <w:adjustRightInd w:val="0"/>
              <w:spacing w:before="120" w:after="0" w:line="240" w:lineRule="auto"/>
              <w:jc w:val="center"/>
              <w:rPr>
                <w:rFonts w:eastAsia="Calibri" w:cstheme="minorHAnsi"/>
                <w:b/>
                <w:bCs/>
                <w:sz w:val="20"/>
                <w:szCs w:val="20"/>
                <w:lang w:val="en-GB"/>
              </w:rPr>
            </w:pPr>
            <w:r w:rsidRPr="003E34F6">
              <w:rPr>
                <w:rFonts w:eastAsia="Calibri" w:cstheme="minorHAnsi"/>
                <w:b/>
                <w:bCs/>
                <w:sz w:val="20"/>
                <w:szCs w:val="20"/>
                <w:lang w:val="en-GB"/>
              </w:rPr>
              <w:t>No.</w:t>
            </w:r>
          </w:p>
        </w:tc>
        <w:tc>
          <w:tcPr>
            <w:tcW w:w="1081" w:type="pct"/>
            <w:vAlign w:val="center"/>
          </w:tcPr>
          <w:p w:rsidR="003732FA" w:rsidRPr="003E34F6" w:rsidRDefault="003732FA" w:rsidP="003732FA">
            <w:pPr>
              <w:autoSpaceDE w:val="0"/>
              <w:autoSpaceDN w:val="0"/>
              <w:adjustRightInd w:val="0"/>
              <w:spacing w:before="120" w:after="0" w:line="240" w:lineRule="auto"/>
              <w:jc w:val="center"/>
              <w:rPr>
                <w:rFonts w:eastAsia="Calibri" w:cstheme="minorHAnsi"/>
                <w:b/>
                <w:bCs/>
                <w:sz w:val="20"/>
                <w:szCs w:val="20"/>
                <w:lang w:val="en-GB"/>
              </w:rPr>
            </w:pPr>
            <w:r w:rsidRPr="003E34F6">
              <w:rPr>
                <w:rFonts w:eastAsia="Calibri" w:cstheme="minorHAnsi"/>
                <w:b/>
                <w:bCs/>
                <w:sz w:val="20"/>
                <w:szCs w:val="20"/>
                <w:lang w:val="en-GB"/>
              </w:rPr>
              <w:t>CSD name and town</w:t>
            </w:r>
          </w:p>
        </w:tc>
        <w:tc>
          <w:tcPr>
            <w:tcW w:w="687" w:type="pct"/>
            <w:vAlign w:val="center"/>
          </w:tcPr>
          <w:p w:rsidR="003732FA" w:rsidRPr="003E34F6" w:rsidRDefault="003732FA" w:rsidP="003732FA">
            <w:pPr>
              <w:autoSpaceDE w:val="0"/>
              <w:autoSpaceDN w:val="0"/>
              <w:adjustRightInd w:val="0"/>
              <w:spacing w:before="120" w:after="0" w:line="240" w:lineRule="auto"/>
              <w:jc w:val="center"/>
              <w:rPr>
                <w:rFonts w:eastAsia="Calibri" w:cstheme="minorHAnsi"/>
                <w:b/>
                <w:bCs/>
                <w:sz w:val="20"/>
                <w:szCs w:val="20"/>
                <w:lang w:val="en-GB"/>
              </w:rPr>
            </w:pPr>
            <w:r w:rsidRPr="003E34F6">
              <w:rPr>
                <w:rFonts w:eastAsia="Calibri" w:cstheme="minorHAnsi"/>
                <w:b/>
                <w:bCs/>
                <w:sz w:val="20"/>
                <w:szCs w:val="20"/>
                <w:lang w:val="en-GB"/>
              </w:rPr>
              <w:t>Postcode</w:t>
            </w:r>
          </w:p>
        </w:tc>
        <w:tc>
          <w:tcPr>
            <w:tcW w:w="1647" w:type="pct"/>
            <w:vAlign w:val="center"/>
          </w:tcPr>
          <w:p w:rsidR="003732FA" w:rsidRPr="003E34F6" w:rsidRDefault="003732FA" w:rsidP="003732FA">
            <w:pPr>
              <w:autoSpaceDE w:val="0"/>
              <w:autoSpaceDN w:val="0"/>
              <w:adjustRightInd w:val="0"/>
              <w:spacing w:before="120" w:after="0" w:line="240" w:lineRule="auto"/>
              <w:jc w:val="center"/>
              <w:rPr>
                <w:rFonts w:eastAsia="Calibri" w:cstheme="minorHAnsi"/>
                <w:b/>
                <w:bCs/>
                <w:sz w:val="20"/>
                <w:szCs w:val="20"/>
                <w:lang w:val="en-GB"/>
              </w:rPr>
            </w:pPr>
            <w:r w:rsidRPr="003E34F6">
              <w:rPr>
                <w:rFonts w:eastAsia="Calibri" w:cstheme="minorHAnsi"/>
                <w:b/>
                <w:bCs/>
                <w:sz w:val="20"/>
                <w:szCs w:val="20"/>
                <w:lang w:val="en-GB"/>
              </w:rPr>
              <w:t>Street</w:t>
            </w:r>
          </w:p>
        </w:tc>
        <w:tc>
          <w:tcPr>
            <w:tcW w:w="1270" w:type="pct"/>
            <w:vAlign w:val="center"/>
          </w:tcPr>
          <w:p w:rsidR="003732FA" w:rsidRPr="003E34F6" w:rsidRDefault="003732FA" w:rsidP="003732FA">
            <w:pPr>
              <w:autoSpaceDE w:val="0"/>
              <w:autoSpaceDN w:val="0"/>
              <w:adjustRightInd w:val="0"/>
              <w:spacing w:before="120" w:after="0" w:line="240" w:lineRule="auto"/>
              <w:jc w:val="center"/>
              <w:rPr>
                <w:rFonts w:eastAsia="Calibri" w:cstheme="minorHAnsi"/>
                <w:b/>
                <w:bCs/>
                <w:sz w:val="20"/>
                <w:szCs w:val="20"/>
                <w:lang w:val="en-GB"/>
              </w:rPr>
            </w:pPr>
            <w:r w:rsidRPr="003E34F6">
              <w:rPr>
                <w:rFonts w:eastAsia="Calibri" w:cstheme="minorHAnsi"/>
                <w:b/>
                <w:bCs/>
                <w:sz w:val="20"/>
                <w:szCs w:val="20"/>
                <w:lang w:val="en-GB"/>
              </w:rPr>
              <w:t>Telephone</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Białystok</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15-282</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Piękna</w:t>
            </w:r>
            <w:proofErr w:type="spellEnd"/>
            <w:r w:rsidRPr="003E34F6">
              <w:rPr>
                <w:rFonts w:eastAsia="Calibri" w:cstheme="minorHAnsi"/>
                <w:sz w:val="20"/>
                <w:szCs w:val="20"/>
                <w:lang w:val="en-GB"/>
              </w:rPr>
              <w:t xml:space="preserve"> 1</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(85) 744-10-44</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2</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Bielsko-Biała</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43-300</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Cyniarska</w:t>
            </w:r>
            <w:proofErr w:type="spellEnd"/>
            <w:r w:rsidRPr="003E34F6">
              <w:rPr>
                <w:rFonts w:eastAsia="Calibri" w:cstheme="minorHAnsi"/>
                <w:sz w:val="20"/>
                <w:szCs w:val="20"/>
                <w:lang w:val="en-GB"/>
              </w:rPr>
              <w:t xml:space="preserve"> 36</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(33) 812 33 89</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3</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Częstochowa</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42-200</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Al. NMP 2</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(34) 361 00 03,</w:t>
            </w:r>
          </w:p>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 xml:space="preserve"> 361 00 59</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4</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Gdańsk</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80-824</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Podwale</w:t>
            </w:r>
            <w:proofErr w:type="spellEnd"/>
            <w:r w:rsidRPr="003E34F6">
              <w:rPr>
                <w:rFonts w:eastAsia="Calibri" w:cstheme="minorHAnsi"/>
                <w:sz w:val="20"/>
                <w:szCs w:val="20"/>
                <w:lang w:val="en-GB"/>
              </w:rPr>
              <w:t xml:space="preserve"> </w:t>
            </w:r>
            <w:proofErr w:type="spellStart"/>
            <w:r w:rsidRPr="003E34F6">
              <w:rPr>
                <w:rFonts w:eastAsia="Calibri" w:cstheme="minorHAnsi"/>
                <w:sz w:val="20"/>
                <w:szCs w:val="20"/>
                <w:lang w:val="en-GB"/>
              </w:rPr>
              <w:t>Przedmiejskie</w:t>
            </w:r>
            <w:proofErr w:type="spellEnd"/>
            <w:r w:rsidRPr="003E34F6">
              <w:rPr>
                <w:rFonts w:eastAsia="Calibri" w:cstheme="minorHAnsi"/>
                <w:sz w:val="20"/>
                <w:szCs w:val="20"/>
                <w:lang w:val="en-GB"/>
              </w:rPr>
              <w:t xml:space="preserve"> 30</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(58) 320 88 48</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5</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Katowice</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40-048</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Kościuszki 43</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(32) 606-76-20</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6</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Kielce</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25-102</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Warszawska</w:t>
            </w:r>
            <w:proofErr w:type="spellEnd"/>
            <w:r w:rsidRPr="003E34F6">
              <w:rPr>
                <w:rFonts w:eastAsia="Calibri" w:cstheme="minorHAnsi"/>
                <w:sz w:val="20"/>
                <w:szCs w:val="20"/>
                <w:lang w:val="en-GB"/>
              </w:rPr>
              <w:t xml:space="preserve"> 31</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(041) 344 45 25</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7</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Koszalin</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75-950</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 xml:space="preserve">1 </w:t>
            </w:r>
            <w:proofErr w:type="spellStart"/>
            <w:r w:rsidRPr="003E34F6">
              <w:rPr>
                <w:rFonts w:eastAsia="Calibri" w:cstheme="minorHAnsi"/>
                <w:sz w:val="20"/>
                <w:szCs w:val="20"/>
                <w:lang w:val="en-GB"/>
              </w:rPr>
              <w:t>Maja</w:t>
            </w:r>
            <w:proofErr w:type="spellEnd"/>
            <w:r w:rsidRPr="003E34F6">
              <w:rPr>
                <w:rFonts w:eastAsia="Calibri" w:cstheme="minorHAnsi"/>
                <w:sz w:val="20"/>
                <w:szCs w:val="20"/>
                <w:lang w:val="en-GB"/>
              </w:rPr>
              <w:t xml:space="preserve"> 18/9</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(94) 346-51-31</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8</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Kraków</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31-068</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Stradomska</w:t>
            </w:r>
            <w:proofErr w:type="spellEnd"/>
            <w:r w:rsidRPr="003E34F6">
              <w:rPr>
                <w:rFonts w:eastAsia="Calibri" w:cstheme="minorHAnsi"/>
                <w:sz w:val="20"/>
                <w:szCs w:val="20"/>
                <w:lang w:val="en-GB"/>
              </w:rPr>
              <w:t xml:space="preserve"> 5a/10</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(12) 433-71-40</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9</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Łódź</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90-368</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Piotrkowska</w:t>
            </w:r>
            <w:proofErr w:type="spellEnd"/>
            <w:r w:rsidRPr="003E34F6">
              <w:rPr>
                <w:rFonts w:eastAsia="Calibri" w:cstheme="minorHAnsi"/>
                <w:sz w:val="20"/>
                <w:szCs w:val="20"/>
                <w:lang w:val="en-GB"/>
              </w:rPr>
              <w:t xml:space="preserve"> 166/168</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(42) 636-00-05</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10</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Olsztyn</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10-539</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Dąbrowszczaków</w:t>
            </w:r>
            <w:proofErr w:type="spellEnd"/>
            <w:r w:rsidRPr="003E34F6">
              <w:rPr>
                <w:rFonts w:eastAsia="Calibri" w:cstheme="minorHAnsi"/>
                <w:sz w:val="20"/>
                <w:szCs w:val="20"/>
                <w:lang w:val="en-GB"/>
              </w:rPr>
              <w:t xml:space="preserve"> 8/9</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(89) 527 28 82</w:t>
            </w:r>
          </w:p>
        </w:tc>
      </w:tr>
      <w:tr w:rsidR="003732FA" w:rsidRPr="003E34F6" w:rsidTr="003732FA">
        <w:tc>
          <w:tcPr>
            <w:tcW w:w="315"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11</w:t>
            </w:r>
          </w:p>
        </w:tc>
        <w:tc>
          <w:tcPr>
            <w:tcW w:w="1081"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Poznań</w:t>
            </w:r>
          </w:p>
        </w:tc>
        <w:tc>
          <w:tcPr>
            <w:tcW w:w="68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60-523</w:t>
            </w:r>
          </w:p>
        </w:tc>
        <w:tc>
          <w:tcPr>
            <w:tcW w:w="1647"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Dąbrowskiego</w:t>
            </w:r>
            <w:proofErr w:type="spellEnd"/>
            <w:r w:rsidRPr="003E34F6">
              <w:rPr>
                <w:rFonts w:eastAsia="Calibri" w:cstheme="minorHAnsi"/>
                <w:sz w:val="20"/>
                <w:szCs w:val="20"/>
                <w:lang w:val="en-GB"/>
              </w:rPr>
              <w:t xml:space="preserve"> 79A</w:t>
            </w:r>
          </w:p>
        </w:tc>
        <w:tc>
          <w:tcPr>
            <w:tcW w:w="1270" w:type="pct"/>
            <w:vAlign w:val="center"/>
          </w:tcPr>
          <w:p w:rsidR="003732FA" w:rsidRPr="003E34F6" w:rsidRDefault="003732FA"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(61) 841-14-12</w:t>
            </w:r>
            <w:r w:rsidRPr="003E34F6">
              <w:rPr>
                <w:rFonts w:eastAsia="Calibri" w:cstheme="minorHAnsi"/>
                <w:sz w:val="20"/>
                <w:szCs w:val="20"/>
                <w:lang w:val="en-GB"/>
              </w:rPr>
              <w:br/>
              <w:t xml:space="preserve"> (61) 847-91-16</w:t>
            </w:r>
          </w:p>
        </w:tc>
      </w:tr>
      <w:tr w:rsidR="001A5F43" w:rsidRPr="003E34F6" w:rsidTr="00B71A09">
        <w:tc>
          <w:tcPr>
            <w:tcW w:w="315"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12</w:t>
            </w:r>
          </w:p>
        </w:tc>
        <w:tc>
          <w:tcPr>
            <w:tcW w:w="1081"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cstheme="minorHAnsi"/>
                <w:sz w:val="20"/>
                <w:lang w:val="en-GB"/>
              </w:rPr>
              <w:t>Rzeszów</w:t>
            </w:r>
            <w:proofErr w:type="spellEnd"/>
          </w:p>
        </w:tc>
        <w:tc>
          <w:tcPr>
            <w:tcW w:w="687" w:type="pct"/>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cstheme="minorHAnsi"/>
                <w:sz w:val="20"/>
                <w:lang w:val="en-GB"/>
              </w:rPr>
              <w:t>35-017</w:t>
            </w:r>
          </w:p>
        </w:tc>
        <w:tc>
          <w:tcPr>
            <w:tcW w:w="164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cstheme="minorHAnsi"/>
                <w:sz w:val="20"/>
                <w:lang w:val="en-GB"/>
              </w:rPr>
              <w:t xml:space="preserve">S. </w:t>
            </w:r>
            <w:proofErr w:type="spellStart"/>
            <w:r w:rsidRPr="003E34F6">
              <w:rPr>
                <w:rFonts w:cstheme="minorHAnsi"/>
                <w:sz w:val="20"/>
                <w:lang w:val="en-GB"/>
              </w:rPr>
              <w:t>Moniuszki</w:t>
            </w:r>
            <w:proofErr w:type="spellEnd"/>
            <w:r w:rsidRPr="003E34F6">
              <w:rPr>
                <w:rFonts w:cstheme="minorHAnsi"/>
                <w:sz w:val="20"/>
                <w:lang w:val="en-GB"/>
              </w:rPr>
              <w:t xml:space="preserve"> 8</w:t>
            </w:r>
          </w:p>
        </w:tc>
        <w:tc>
          <w:tcPr>
            <w:tcW w:w="1270" w:type="pct"/>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cstheme="minorHAnsi"/>
                <w:sz w:val="20"/>
                <w:lang w:val="en-GB"/>
              </w:rPr>
              <w:t>(17) 850 84 86</w:t>
            </w:r>
          </w:p>
        </w:tc>
      </w:tr>
      <w:tr w:rsidR="001A5F43" w:rsidRPr="003E34F6" w:rsidTr="003732FA">
        <w:tc>
          <w:tcPr>
            <w:tcW w:w="315"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13</w:t>
            </w:r>
          </w:p>
        </w:tc>
        <w:tc>
          <w:tcPr>
            <w:tcW w:w="1081"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Szczecin</w:t>
            </w:r>
          </w:p>
        </w:tc>
        <w:tc>
          <w:tcPr>
            <w:tcW w:w="68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70-415</w:t>
            </w:r>
          </w:p>
        </w:tc>
        <w:tc>
          <w:tcPr>
            <w:tcW w:w="164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Al. Papieża J. Pawła II 6</w:t>
            </w:r>
          </w:p>
        </w:tc>
        <w:tc>
          <w:tcPr>
            <w:tcW w:w="1270"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(91) 434-44-30</w:t>
            </w:r>
          </w:p>
        </w:tc>
      </w:tr>
      <w:tr w:rsidR="001A5F43" w:rsidRPr="003E34F6" w:rsidTr="003732FA">
        <w:tc>
          <w:tcPr>
            <w:tcW w:w="315"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14</w:t>
            </w:r>
          </w:p>
        </w:tc>
        <w:tc>
          <w:tcPr>
            <w:tcW w:w="1081"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Warszawa</w:t>
            </w:r>
          </w:p>
        </w:tc>
        <w:tc>
          <w:tcPr>
            <w:tcW w:w="68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00-517</w:t>
            </w:r>
          </w:p>
        </w:tc>
        <w:tc>
          <w:tcPr>
            <w:tcW w:w="164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proofErr w:type="spellStart"/>
            <w:r w:rsidRPr="003E34F6">
              <w:rPr>
                <w:rFonts w:eastAsia="Calibri" w:cstheme="minorHAnsi"/>
                <w:sz w:val="20"/>
                <w:szCs w:val="20"/>
                <w:lang w:val="en-GB"/>
              </w:rPr>
              <w:t>Marszałkowska</w:t>
            </w:r>
            <w:proofErr w:type="spellEnd"/>
            <w:r w:rsidRPr="003E34F6">
              <w:rPr>
                <w:rFonts w:eastAsia="Calibri" w:cstheme="minorHAnsi"/>
                <w:sz w:val="20"/>
                <w:szCs w:val="20"/>
                <w:lang w:val="en-GB"/>
              </w:rPr>
              <w:t xml:space="preserve"> 78/80</w:t>
            </w:r>
          </w:p>
        </w:tc>
        <w:tc>
          <w:tcPr>
            <w:tcW w:w="1270"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(22) 5043-300</w:t>
            </w:r>
          </w:p>
        </w:tc>
      </w:tr>
      <w:tr w:rsidR="001A5F43" w:rsidRPr="003E34F6" w:rsidTr="003732FA">
        <w:tc>
          <w:tcPr>
            <w:tcW w:w="315"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15</w:t>
            </w:r>
          </w:p>
        </w:tc>
        <w:tc>
          <w:tcPr>
            <w:tcW w:w="1081"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Wrocław</w:t>
            </w:r>
          </w:p>
        </w:tc>
        <w:tc>
          <w:tcPr>
            <w:tcW w:w="68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50-107</w:t>
            </w:r>
          </w:p>
        </w:tc>
        <w:tc>
          <w:tcPr>
            <w:tcW w:w="1647"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Sukiennice 6</w:t>
            </w:r>
          </w:p>
        </w:tc>
        <w:tc>
          <w:tcPr>
            <w:tcW w:w="1270" w:type="pct"/>
            <w:vAlign w:val="center"/>
          </w:tcPr>
          <w:p w:rsidR="001A5F43" w:rsidRPr="003E34F6" w:rsidRDefault="001A5F43" w:rsidP="003732FA">
            <w:pPr>
              <w:autoSpaceDE w:val="0"/>
              <w:autoSpaceDN w:val="0"/>
              <w:adjustRightInd w:val="0"/>
              <w:spacing w:after="0" w:line="240" w:lineRule="auto"/>
              <w:rPr>
                <w:rFonts w:eastAsia="Calibri" w:cstheme="minorHAnsi"/>
                <w:bCs/>
                <w:sz w:val="20"/>
                <w:szCs w:val="20"/>
                <w:lang w:val="en-GB"/>
              </w:rPr>
            </w:pPr>
            <w:r w:rsidRPr="003E34F6">
              <w:rPr>
                <w:rFonts w:eastAsia="Calibri" w:cstheme="minorHAnsi"/>
                <w:sz w:val="20"/>
                <w:szCs w:val="20"/>
                <w:lang w:val="en-GB"/>
              </w:rPr>
              <w:t>(71) 344-82-02</w:t>
            </w:r>
          </w:p>
        </w:tc>
      </w:tr>
    </w:tbl>
    <w:p w:rsidR="003732FA" w:rsidRPr="003E34F6" w:rsidRDefault="003732FA" w:rsidP="007958E1">
      <w:pPr>
        <w:spacing w:after="0"/>
        <w:jc w:val="both"/>
        <w:rPr>
          <w:rFonts w:cstheme="minorHAnsi"/>
          <w:sz w:val="20"/>
          <w:szCs w:val="20"/>
          <w:lang w:val="en-GB"/>
        </w:rPr>
      </w:pPr>
    </w:p>
    <w:p w:rsidR="007958E1" w:rsidRPr="003E34F6" w:rsidRDefault="007958E1" w:rsidP="007958E1">
      <w:pPr>
        <w:spacing w:before="240" w:after="0"/>
        <w:jc w:val="both"/>
        <w:rPr>
          <w:rFonts w:cstheme="minorHAnsi"/>
          <w:sz w:val="20"/>
          <w:szCs w:val="20"/>
          <w:lang w:val="en-GB"/>
        </w:rPr>
      </w:pPr>
    </w:p>
    <w:p w:rsidR="00576B81" w:rsidRPr="003E34F6" w:rsidRDefault="00576B81" w:rsidP="00A25987">
      <w:pPr>
        <w:spacing w:after="0" w:line="240" w:lineRule="auto"/>
        <w:jc w:val="both"/>
        <w:rPr>
          <w:sz w:val="18"/>
          <w:szCs w:val="18"/>
          <w:lang w:val="en-GB"/>
        </w:rPr>
      </w:pPr>
    </w:p>
    <w:sectPr w:rsidR="00576B81" w:rsidRPr="003E34F6" w:rsidSect="00232D6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9D" w:rsidRDefault="0035729D" w:rsidP="00BC58E7">
      <w:pPr>
        <w:spacing w:after="0" w:line="240" w:lineRule="auto"/>
      </w:pPr>
      <w:r>
        <w:separator/>
      </w:r>
    </w:p>
  </w:endnote>
  <w:endnote w:type="continuationSeparator" w:id="0">
    <w:p w:rsidR="0035729D" w:rsidRDefault="0035729D" w:rsidP="00BC5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mSpring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9D" w:rsidRDefault="0035729D" w:rsidP="00BC58E7">
      <w:pPr>
        <w:spacing w:after="0" w:line="240" w:lineRule="auto"/>
      </w:pPr>
      <w:r>
        <w:separator/>
      </w:r>
    </w:p>
  </w:footnote>
  <w:footnote w:type="continuationSeparator" w:id="0">
    <w:p w:rsidR="0035729D" w:rsidRDefault="0035729D" w:rsidP="00BC5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718A"/>
    <w:multiLevelType w:val="hybridMultilevel"/>
    <w:tmpl w:val="A66646F8"/>
    <w:lvl w:ilvl="0" w:tplc="85942138">
      <w:start w:val="1"/>
      <w:numFmt w:val="decimal"/>
      <w:lvlText w:val="%1."/>
      <w:lvlJc w:val="left"/>
      <w:pPr>
        <w:tabs>
          <w:tab w:val="num" w:pos="720"/>
        </w:tabs>
        <w:ind w:left="720" w:hanging="360"/>
      </w:pPr>
    </w:lvl>
    <w:lvl w:ilvl="1" w:tplc="FDD6BCA0">
      <w:start w:val="1"/>
      <w:numFmt w:val="decimal"/>
      <w:lvlText w:val="%2)"/>
      <w:lvlJc w:val="left"/>
      <w:pPr>
        <w:tabs>
          <w:tab w:val="num" w:pos="1440"/>
        </w:tabs>
        <w:ind w:left="144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12057F8D"/>
    <w:multiLevelType w:val="hybridMultilevel"/>
    <w:tmpl w:val="49EC6B9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224A25A4"/>
    <w:multiLevelType w:val="hybridMultilevel"/>
    <w:tmpl w:val="3326BB2E"/>
    <w:lvl w:ilvl="0" w:tplc="477265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4B60D2"/>
    <w:multiLevelType w:val="hybridMultilevel"/>
    <w:tmpl w:val="839A0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DE046F"/>
    <w:multiLevelType w:val="hybridMultilevel"/>
    <w:tmpl w:val="71CAE9C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1005C96"/>
    <w:multiLevelType w:val="hybridMultilevel"/>
    <w:tmpl w:val="84DA0224"/>
    <w:lvl w:ilvl="0" w:tplc="04150013">
      <w:start w:val="1"/>
      <w:numFmt w:val="upperRoman"/>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BA3EFC"/>
    <w:multiLevelType w:val="hybridMultilevel"/>
    <w:tmpl w:val="19CAB29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E30416"/>
    <w:multiLevelType w:val="hybridMultilevel"/>
    <w:tmpl w:val="292AA43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6541578"/>
    <w:multiLevelType w:val="hybridMultilevel"/>
    <w:tmpl w:val="A2F28D0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B70446"/>
    <w:multiLevelType w:val="hybridMultilevel"/>
    <w:tmpl w:val="36BC141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075CDA"/>
    <w:multiLevelType w:val="hybridMultilevel"/>
    <w:tmpl w:val="D13806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E07DB3"/>
    <w:multiLevelType w:val="hybridMultilevel"/>
    <w:tmpl w:val="839A0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F934E09"/>
    <w:multiLevelType w:val="hybridMultilevel"/>
    <w:tmpl w:val="839A0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0A449B2"/>
    <w:multiLevelType w:val="hybridMultilevel"/>
    <w:tmpl w:val="C89E0A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FC4AC6"/>
    <w:multiLevelType w:val="hybridMultilevel"/>
    <w:tmpl w:val="BB564522"/>
    <w:lvl w:ilvl="0" w:tplc="980C9A7A">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E6F6776"/>
    <w:multiLevelType w:val="hybridMultilevel"/>
    <w:tmpl w:val="839A0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FCD6371"/>
    <w:multiLevelType w:val="hybridMultilevel"/>
    <w:tmpl w:val="74543592"/>
    <w:lvl w:ilvl="0" w:tplc="04150013">
      <w:start w:val="1"/>
      <w:numFmt w:val="upperRoman"/>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C95ED8"/>
    <w:multiLevelType w:val="hybridMultilevel"/>
    <w:tmpl w:val="1A826EE2"/>
    <w:lvl w:ilvl="0" w:tplc="23FE2EC6">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F9B203A"/>
    <w:multiLevelType w:val="hybridMultilevel"/>
    <w:tmpl w:val="09F8D41C"/>
    <w:lvl w:ilvl="0" w:tplc="0415000F">
      <w:start w:val="1"/>
      <w:numFmt w:val="decimal"/>
      <w:lvlText w:val="%1."/>
      <w:lvlJc w:val="left"/>
      <w:pPr>
        <w:ind w:left="720" w:hanging="360"/>
      </w:pPr>
      <w:rPr>
        <w:rFonts w:hint="default"/>
      </w:rPr>
    </w:lvl>
    <w:lvl w:ilvl="1" w:tplc="855214EA">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F82CE7"/>
    <w:multiLevelType w:val="hybridMultilevel"/>
    <w:tmpl w:val="A448D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3"/>
  </w:num>
  <w:num w:numId="6">
    <w:abstractNumId w:val="11"/>
  </w:num>
  <w:num w:numId="7">
    <w:abstractNumId w:val="7"/>
  </w:num>
  <w:num w:numId="8">
    <w:abstractNumId w:val="9"/>
  </w:num>
  <w:num w:numId="9">
    <w:abstractNumId w:val="18"/>
  </w:num>
  <w:num w:numId="10">
    <w:abstractNumId w:val="4"/>
  </w:num>
  <w:num w:numId="11">
    <w:abstractNumId w:val="2"/>
  </w:num>
  <w:num w:numId="12">
    <w:abstractNumId w:val="8"/>
  </w:num>
  <w:num w:numId="13">
    <w:abstractNumId w:val="19"/>
  </w:num>
  <w:num w:numId="14">
    <w:abstractNumId w:val="6"/>
  </w:num>
  <w:num w:numId="15">
    <w:abstractNumId w:val="17"/>
  </w:num>
  <w:num w:numId="16">
    <w:abstractNumId w:val="16"/>
  </w:num>
  <w:num w:numId="17">
    <w:abstractNumId w:val="1"/>
  </w:num>
  <w:num w:numId="18">
    <w:abstractNumId w:val="13"/>
  </w:num>
  <w:num w:numId="19">
    <w:abstractNumId w:val="10"/>
  </w:num>
  <w:num w:numId="20">
    <w:abstractNumId w:val="14"/>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8"/>
  <w:hyphenationZone w:val="425"/>
  <w:characterSpacingControl w:val="doNotCompress"/>
  <w:footnotePr>
    <w:footnote w:id="-1"/>
    <w:footnote w:id="0"/>
  </w:footnotePr>
  <w:endnotePr>
    <w:endnote w:id="-1"/>
    <w:endnote w:id="0"/>
  </w:endnotePr>
  <w:compat>
    <w:useFELayout/>
  </w:compat>
  <w:rsids>
    <w:rsidRoot w:val="00273793"/>
    <w:rsid w:val="00003D71"/>
    <w:rsid w:val="000371D1"/>
    <w:rsid w:val="00057A02"/>
    <w:rsid w:val="00081B1C"/>
    <w:rsid w:val="000B02CE"/>
    <w:rsid w:val="000C1C60"/>
    <w:rsid w:val="000E4AD1"/>
    <w:rsid w:val="0011035E"/>
    <w:rsid w:val="00136012"/>
    <w:rsid w:val="00141EDA"/>
    <w:rsid w:val="00155193"/>
    <w:rsid w:val="00156EAB"/>
    <w:rsid w:val="00160D22"/>
    <w:rsid w:val="00185CAB"/>
    <w:rsid w:val="001A2042"/>
    <w:rsid w:val="001A430E"/>
    <w:rsid w:val="001A5F43"/>
    <w:rsid w:val="001C4C50"/>
    <w:rsid w:val="00212D52"/>
    <w:rsid w:val="00232D60"/>
    <w:rsid w:val="002331D3"/>
    <w:rsid w:val="002733FD"/>
    <w:rsid w:val="00273793"/>
    <w:rsid w:val="002746CC"/>
    <w:rsid w:val="00291337"/>
    <w:rsid w:val="002A1E78"/>
    <w:rsid w:val="002C317C"/>
    <w:rsid w:val="002E4EA4"/>
    <w:rsid w:val="003227D4"/>
    <w:rsid w:val="0034032B"/>
    <w:rsid w:val="003466B1"/>
    <w:rsid w:val="0035729D"/>
    <w:rsid w:val="00362AB6"/>
    <w:rsid w:val="003732FA"/>
    <w:rsid w:val="003A100C"/>
    <w:rsid w:val="003A38E1"/>
    <w:rsid w:val="003B7A21"/>
    <w:rsid w:val="003C2EC7"/>
    <w:rsid w:val="003C49A6"/>
    <w:rsid w:val="003C4B1A"/>
    <w:rsid w:val="003D4F5B"/>
    <w:rsid w:val="003E34F6"/>
    <w:rsid w:val="0044321F"/>
    <w:rsid w:val="00476F9F"/>
    <w:rsid w:val="0048753D"/>
    <w:rsid w:val="004921CF"/>
    <w:rsid w:val="004A66E6"/>
    <w:rsid w:val="004A7911"/>
    <w:rsid w:val="004C0675"/>
    <w:rsid w:val="004D1202"/>
    <w:rsid w:val="004E21EF"/>
    <w:rsid w:val="005121FC"/>
    <w:rsid w:val="005146FB"/>
    <w:rsid w:val="005276C1"/>
    <w:rsid w:val="0053553E"/>
    <w:rsid w:val="0055598C"/>
    <w:rsid w:val="0056278F"/>
    <w:rsid w:val="00576B81"/>
    <w:rsid w:val="005834A3"/>
    <w:rsid w:val="0059651C"/>
    <w:rsid w:val="005B4CC7"/>
    <w:rsid w:val="005E5680"/>
    <w:rsid w:val="00623092"/>
    <w:rsid w:val="00632B69"/>
    <w:rsid w:val="00640243"/>
    <w:rsid w:val="00681591"/>
    <w:rsid w:val="00691F77"/>
    <w:rsid w:val="00692518"/>
    <w:rsid w:val="006A147B"/>
    <w:rsid w:val="006A396E"/>
    <w:rsid w:val="006D3907"/>
    <w:rsid w:val="006F58F3"/>
    <w:rsid w:val="0070417C"/>
    <w:rsid w:val="0070629E"/>
    <w:rsid w:val="00712E29"/>
    <w:rsid w:val="00715DD8"/>
    <w:rsid w:val="00717BAE"/>
    <w:rsid w:val="00720E31"/>
    <w:rsid w:val="00725B1C"/>
    <w:rsid w:val="00725FE2"/>
    <w:rsid w:val="00760900"/>
    <w:rsid w:val="00766D61"/>
    <w:rsid w:val="00781CBE"/>
    <w:rsid w:val="007958E1"/>
    <w:rsid w:val="007A3DD6"/>
    <w:rsid w:val="007C51C2"/>
    <w:rsid w:val="007D0A96"/>
    <w:rsid w:val="00800C77"/>
    <w:rsid w:val="008116A0"/>
    <w:rsid w:val="00835140"/>
    <w:rsid w:val="00842C44"/>
    <w:rsid w:val="0084390C"/>
    <w:rsid w:val="00871E95"/>
    <w:rsid w:val="0089143E"/>
    <w:rsid w:val="008926F2"/>
    <w:rsid w:val="008B2657"/>
    <w:rsid w:val="008C24A8"/>
    <w:rsid w:val="008D362F"/>
    <w:rsid w:val="008E70F3"/>
    <w:rsid w:val="008E7C34"/>
    <w:rsid w:val="008F638B"/>
    <w:rsid w:val="0092126C"/>
    <w:rsid w:val="00922AAA"/>
    <w:rsid w:val="009246A7"/>
    <w:rsid w:val="0095149C"/>
    <w:rsid w:val="0097531C"/>
    <w:rsid w:val="00981929"/>
    <w:rsid w:val="00990EA2"/>
    <w:rsid w:val="00995038"/>
    <w:rsid w:val="009E5C4A"/>
    <w:rsid w:val="009F5C63"/>
    <w:rsid w:val="00A05879"/>
    <w:rsid w:val="00A16475"/>
    <w:rsid w:val="00A232ED"/>
    <w:rsid w:val="00A25987"/>
    <w:rsid w:val="00A37039"/>
    <w:rsid w:val="00A71B50"/>
    <w:rsid w:val="00A82042"/>
    <w:rsid w:val="00A83ABD"/>
    <w:rsid w:val="00AC6A7B"/>
    <w:rsid w:val="00AD03B2"/>
    <w:rsid w:val="00AD23B1"/>
    <w:rsid w:val="00AF6013"/>
    <w:rsid w:val="00AF7ACE"/>
    <w:rsid w:val="00B41DD6"/>
    <w:rsid w:val="00B71A09"/>
    <w:rsid w:val="00BA00EF"/>
    <w:rsid w:val="00BA3E5B"/>
    <w:rsid w:val="00BC135E"/>
    <w:rsid w:val="00BC58E7"/>
    <w:rsid w:val="00C11259"/>
    <w:rsid w:val="00C2787C"/>
    <w:rsid w:val="00C549A4"/>
    <w:rsid w:val="00C55220"/>
    <w:rsid w:val="00C616B2"/>
    <w:rsid w:val="00C61BD0"/>
    <w:rsid w:val="00C679A5"/>
    <w:rsid w:val="00C759E4"/>
    <w:rsid w:val="00C83750"/>
    <w:rsid w:val="00CA76A5"/>
    <w:rsid w:val="00CB45AB"/>
    <w:rsid w:val="00CB7A9D"/>
    <w:rsid w:val="00CD0090"/>
    <w:rsid w:val="00CD09B8"/>
    <w:rsid w:val="00CF51D8"/>
    <w:rsid w:val="00D041D8"/>
    <w:rsid w:val="00D82985"/>
    <w:rsid w:val="00DB0EAE"/>
    <w:rsid w:val="00DC228A"/>
    <w:rsid w:val="00DC5076"/>
    <w:rsid w:val="00DD6E27"/>
    <w:rsid w:val="00E21887"/>
    <w:rsid w:val="00E52913"/>
    <w:rsid w:val="00E713A2"/>
    <w:rsid w:val="00E71AC3"/>
    <w:rsid w:val="00F035E5"/>
    <w:rsid w:val="00F21865"/>
    <w:rsid w:val="00F25D78"/>
    <w:rsid w:val="00F67BC8"/>
    <w:rsid w:val="00F9388D"/>
    <w:rsid w:val="00F95C87"/>
    <w:rsid w:val="00F96FA9"/>
    <w:rsid w:val="00FB208A"/>
    <w:rsid w:val="00FD2F01"/>
    <w:rsid w:val="00FD62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21F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126C"/>
    <w:pPr>
      <w:ind w:left="720"/>
      <w:contextualSpacing/>
    </w:pPr>
  </w:style>
  <w:style w:type="character" w:styleId="Hipercze">
    <w:name w:val="Hyperlink"/>
    <w:basedOn w:val="Domylnaczcionkaakapitu"/>
    <w:uiPriority w:val="99"/>
    <w:unhideWhenUsed/>
    <w:rsid w:val="00FD2F01"/>
    <w:rPr>
      <w:color w:val="0000FF" w:themeColor="hyperlink"/>
      <w:u w:val="single"/>
    </w:rPr>
  </w:style>
  <w:style w:type="character" w:styleId="Odwoaniedokomentarza">
    <w:name w:val="annotation reference"/>
    <w:basedOn w:val="Domylnaczcionkaakapitu"/>
    <w:uiPriority w:val="99"/>
    <w:semiHidden/>
    <w:unhideWhenUsed/>
    <w:rsid w:val="000371D1"/>
    <w:rPr>
      <w:sz w:val="16"/>
      <w:szCs w:val="16"/>
    </w:rPr>
  </w:style>
  <w:style w:type="paragraph" w:styleId="Tekstkomentarza">
    <w:name w:val="annotation text"/>
    <w:basedOn w:val="Normalny"/>
    <w:link w:val="TekstkomentarzaZnak"/>
    <w:uiPriority w:val="99"/>
    <w:semiHidden/>
    <w:unhideWhenUsed/>
    <w:rsid w:val="000371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71D1"/>
    <w:rPr>
      <w:sz w:val="20"/>
      <w:szCs w:val="20"/>
    </w:rPr>
  </w:style>
  <w:style w:type="paragraph" w:styleId="Tematkomentarza">
    <w:name w:val="annotation subject"/>
    <w:basedOn w:val="Tekstkomentarza"/>
    <w:next w:val="Tekstkomentarza"/>
    <w:link w:val="TematkomentarzaZnak"/>
    <w:uiPriority w:val="99"/>
    <w:semiHidden/>
    <w:unhideWhenUsed/>
    <w:rsid w:val="000371D1"/>
    <w:rPr>
      <w:b/>
      <w:bCs/>
    </w:rPr>
  </w:style>
  <w:style w:type="character" w:customStyle="1" w:styleId="TematkomentarzaZnak">
    <w:name w:val="Temat komentarza Znak"/>
    <w:basedOn w:val="TekstkomentarzaZnak"/>
    <w:link w:val="Tematkomentarza"/>
    <w:uiPriority w:val="99"/>
    <w:semiHidden/>
    <w:rsid w:val="000371D1"/>
    <w:rPr>
      <w:b/>
      <w:bCs/>
      <w:sz w:val="20"/>
      <w:szCs w:val="20"/>
    </w:rPr>
  </w:style>
  <w:style w:type="paragraph" w:styleId="Tekstdymka">
    <w:name w:val="Balloon Text"/>
    <w:basedOn w:val="Normalny"/>
    <w:link w:val="TekstdymkaZnak"/>
    <w:uiPriority w:val="99"/>
    <w:semiHidden/>
    <w:unhideWhenUsed/>
    <w:rsid w:val="000371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1D1"/>
    <w:rPr>
      <w:rFonts w:ascii="Tahoma" w:hAnsi="Tahoma" w:cs="Tahoma"/>
      <w:sz w:val="16"/>
      <w:szCs w:val="16"/>
    </w:rPr>
  </w:style>
  <w:style w:type="paragraph" w:styleId="Plandokumentu">
    <w:name w:val="Document Map"/>
    <w:basedOn w:val="Normalny"/>
    <w:link w:val="PlandokumentuZnak"/>
    <w:uiPriority w:val="99"/>
    <w:semiHidden/>
    <w:unhideWhenUsed/>
    <w:rsid w:val="007958E1"/>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958E1"/>
    <w:rPr>
      <w:rFonts w:ascii="Tahoma" w:hAnsi="Tahoma" w:cs="Tahoma"/>
      <w:sz w:val="16"/>
      <w:szCs w:val="16"/>
    </w:rPr>
  </w:style>
  <w:style w:type="paragraph" w:styleId="Tekstpodstawowy">
    <w:name w:val="Body Text"/>
    <w:basedOn w:val="Normalny"/>
    <w:link w:val="TekstpodstawowyZnak"/>
    <w:semiHidden/>
    <w:unhideWhenUsed/>
    <w:rsid w:val="00A83ABD"/>
    <w:pPr>
      <w:spacing w:after="120" w:line="240" w:lineRule="auto"/>
    </w:pPr>
    <w:rPr>
      <w:rFonts w:ascii="PalmSprings" w:eastAsia="Times New Roman" w:hAnsi="PalmSprings" w:cs="Times New Roman"/>
      <w:szCs w:val="20"/>
      <w:lang w:val="en-GB"/>
    </w:rPr>
  </w:style>
  <w:style w:type="character" w:customStyle="1" w:styleId="TekstpodstawowyZnak">
    <w:name w:val="Tekst podstawowy Znak"/>
    <w:basedOn w:val="Domylnaczcionkaakapitu"/>
    <w:link w:val="Tekstpodstawowy"/>
    <w:semiHidden/>
    <w:rsid w:val="00A83ABD"/>
    <w:rPr>
      <w:rFonts w:ascii="PalmSprings" w:eastAsia="Times New Roman" w:hAnsi="PalmSprings" w:cs="Times New Roman"/>
      <w:szCs w:val="20"/>
      <w:lang w:val="en-GB" w:eastAsia="pl-PL"/>
    </w:rPr>
  </w:style>
  <w:style w:type="paragraph" w:customStyle="1" w:styleId="Default">
    <w:name w:val="Default"/>
    <w:rsid w:val="00BC58E7"/>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BC58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58E7"/>
    <w:rPr>
      <w:sz w:val="20"/>
      <w:szCs w:val="20"/>
    </w:rPr>
  </w:style>
  <w:style w:type="character" w:styleId="Odwoanieprzypisukocowego">
    <w:name w:val="endnote reference"/>
    <w:basedOn w:val="Domylnaczcionkaakapitu"/>
    <w:uiPriority w:val="99"/>
    <w:semiHidden/>
    <w:unhideWhenUsed/>
    <w:rsid w:val="00BC58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126C"/>
    <w:pPr>
      <w:ind w:left="720"/>
      <w:contextualSpacing/>
    </w:pPr>
  </w:style>
  <w:style w:type="character" w:styleId="Hipercze">
    <w:name w:val="Hyperlink"/>
    <w:basedOn w:val="Domylnaczcionkaakapitu"/>
    <w:uiPriority w:val="99"/>
    <w:unhideWhenUsed/>
    <w:rsid w:val="00FD2F01"/>
    <w:rPr>
      <w:color w:val="0000FF" w:themeColor="hyperlink"/>
      <w:u w:val="single"/>
    </w:rPr>
  </w:style>
  <w:style w:type="character" w:styleId="Odwoaniedokomentarza">
    <w:name w:val="annotation reference"/>
    <w:basedOn w:val="Domylnaczcionkaakapitu"/>
    <w:uiPriority w:val="99"/>
    <w:semiHidden/>
    <w:unhideWhenUsed/>
    <w:rsid w:val="000371D1"/>
    <w:rPr>
      <w:sz w:val="16"/>
      <w:szCs w:val="16"/>
    </w:rPr>
  </w:style>
  <w:style w:type="paragraph" w:styleId="Tekstkomentarza">
    <w:name w:val="annotation text"/>
    <w:basedOn w:val="Normalny"/>
    <w:link w:val="TekstkomentarzaZnak"/>
    <w:uiPriority w:val="99"/>
    <w:semiHidden/>
    <w:unhideWhenUsed/>
    <w:rsid w:val="000371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71D1"/>
    <w:rPr>
      <w:sz w:val="20"/>
      <w:szCs w:val="20"/>
    </w:rPr>
  </w:style>
  <w:style w:type="paragraph" w:styleId="Tematkomentarza">
    <w:name w:val="annotation subject"/>
    <w:basedOn w:val="Tekstkomentarza"/>
    <w:next w:val="Tekstkomentarza"/>
    <w:link w:val="TematkomentarzaZnak"/>
    <w:uiPriority w:val="99"/>
    <w:semiHidden/>
    <w:unhideWhenUsed/>
    <w:rsid w:val="000371D1"/>
    <w:rPr>
      <w:b/>
      <w:bCs/>
    </w:rPr>
  </w:style>
  <w:style w:type="character" w:customStyle="1" w:styleId="TematkomentarzaZnak">
    <w:name w:val="Temat komentarza Znak"/>
    <w:basedOn w:val="TekstkomentarzaZnak"/>
    <w:link w:val="Tematkomentarza"/>
    <w:uiPriority w:val="99"/>
    <w:semiHidden/>
    <w:rsid w:val="000371D1"/>
    <w:rPr>
      <w:b/>
      <w:bCs/>
      <w:sz w:val="20"/>
      <w:szCs w:val="20"/>
    </w:rPr>
  </w:style>
  <w:style w:type="paragraph" w:styleId="Tekstdymka">
    <w:name w:val="Balloon Text"/>
    <w:basedOn w:val="Normalny"/>
    <w:link w:val="TekstdymkaZnak"/>
    <w:uiPriority w:val="99"/>
    <w:semiHidden/>
    <w:unhideWhenUsed/>
    <w:rsid w:val="000371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1D1"/>
    <w:rPr>
      <w:rFonts w:ascii="Tahoma" w:hAnsi="Tahoma" w:cs="Tahoma"/>
      <w:sz w:val="16"/>
      <w:szCs w:val="16"/>
    </w:rPr>
  </w:style>
  <w:style w:type="paragraph" w:styleId="Mapadokumentu">
    <w:name w:val="Document Map"/>
    <w:basedOn w:val="Normalny"/>
    <w:link w:val="MapadokumentuZnak"/>
    <w:uiPriority w:val="99"/>
    <w:semiHidden/>
    <w:unhideWhenUsed/>
    <w:rsid w:val="007958E1"/>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958E1"/>
    <w:rPr>
      <w:rFonts w:ascii="Tahoma" w:hAnsi="Tahoma" w:cs="Tahoma"/>
      <w:sz w:val="16"/>
      <w:szCs w:val="16"/>
    </w:rPr>
  </w:style>
  <w:style w:type="paragraph" w:styleId="Tekstpodstawowy">
    <w:name w:val="Body Text"/>
    <w:basedOn w:val="Normalny"/>
    <w:link w:val="TekstpodstawowyZnak"/>
    <w:semiHidden/>
    <w:unhideWhenUsed/>
    <w:rsid w:val="00A83ABD"/>
    <w:pPr>
      <w:spacing w:after="120" w:line="240" w:lineRule="auto"/>
    </w:pPr>
    <w:rPr>
      <w:rFonts w:ascii="PalmSprings" w:eastAsia="Times New Roman" w:hAnsi="PalmSprings" w:cs="Times New Roman"/>
      <w:szCs w:val="20"/>
      <w:lang w:val="en-GB"/>
    </w:rPr>
  </w:style>
  <w:style w:type="character" w:customStyle="1" w:styleId="TekstpodstawowyZnak">
    <w:name w:val="Tekst podstawowy Znak"/>
    <w:basedOn w:val="Domylnaczcionkaakapitu"/>
    <w:link w:val="Tekstpodstawowy"/>
    <w:semiHidden/>
    <w:rsid w:val="00A83ABD"/>
    <w:rPr>
      <w:rFonts w:ascii="PalmSprings" w:eastAsia="Times New Roman" w:hAnsi="PalmSprings" w:cs="Times New Roman"/>
      <w:szCs w:val="20"/>
      <w:lang w:val="en-GB" w:eastAsia="pl-PL"/>
    </w:rPr>
  </w:style>
  <w:style w:type="paragraph" w:customStyle="1" w:styleId="Default">
    <w:name w:val="Default"/>
    <w:rsid w:val="00BC58E7"/>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BC58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58E7"/>
    <w:rPr>
      <w:sz w:val="20"/>
      <w:szCs w:val="20"/>
    </w:rPr>
  </w:style>
  <w:style w:type="character" w:styleId="Odwoanieprzypisukocowego">
    <w:name w:val="endnote reference"/>
    <w:basedOn w:val="Domylnaczcionkaakapitu"/>
    <w:uiPriority w:val="99"/>
    <w:semiHidden/>
    <w:unhideWhenUsed/>
    <w:rsid w:val="00BC58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DAD0A-A574-481B-9245-68D56930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9785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Palka</dc:creator>
  <cp:lastModifiedBy>udomachowska</cp:lastModifiedBy>
  <cp:revision>2</cp:revision>
  <cp:lastPrinted>2014-01-17T13:44:00Z</cp:lastPrinted>
  <dcterms:created xsi:type="dcterms:W3CDTF">2014-01-27T07:51:00Z</dcterms:created>
  <dcterms:modified xsi:type="dcterms:W3CDTF">2014-01-27T07:51:00Z</dcterms:modified>
</cp:coreProperties>
</file>